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327AB6" w14:textId="77777777" w:rsidR="00241BCE" w:rsidRDefault="00241BCE" w:rsidP="00A84A89">
      <w:pPr>
        <w:rPr>
          <w:rFonts w:cstheme="minorHAnsi"/>
          <w:sz w:val="24"/>
          <w:szCs w:val="24"/>
        </w:rPr>
      </w:pPr>
    </w:p>
    <w:p w14:paraId="35C833F6" w14:textId="77777777" w:rsidR="00A84A89" w:rsidRDefault="00A84A89" w:rsidP="00A84A89">
      <w:pPr>
        <w:rPr>
          <w:rFonts w:cstheme="minorHAnsi"/>
          <w:sz w:val="24"/>
          <w:szCs w:val="24"/>
        </w:rPr>
      </w:pPr>
      <w:r>
        <w:rPr>
          <w:rFonts w:cstheme="minorHAnsi"/>
          <w:sz w:val="24"/>
          <w:szCs w:val="24"/>
        </w:rPr>
        <w:t>Příloha č. 19</w:t>
      </w:r>
    </w:p>
    <w:p w14:paraId="5C7E433A" w14:textId="77777777" w:rsidR="00A84A89" w:rsidRDefault="00A84A89" w:rsidP="00A84A89">
      <w:pPr>
        <w:rPr>
          <w:rFonts w:cstheme="minorHAnsi"/>
          <w:sz w:val="24"/>
          <w:szCs w:val="24"/>
        </w:rPr>
      </w:pPr>
      <w:r>
        <w:rPr>
          <w:rFonts w:cstheme="minorHAnsi"/>
          <w:sz w:val="24"/>
          <w:szCs w:val="24"/>
        </w:rPr>
        <w:t>Bližší specifikace zadávacích podmínek týkající se části 19 veřejné zakázky vč. technických specifikací</w:t>
      </w:r>
    </w:p>
    <w:p w14:paraId="72E5E042" w14:textId="77777777" w:rsidR="006F76E0" w:rsidRDefault="006F76E0" w:rsidP="006F76E0">
      <w:pPr>
        <w:rPr>
          <w:rFonts w:cstheme="minorHAnsi"/>
          <w:b/>
          <w:sz w:val="24"/>
          <w:szCs w:val="24"/>
          <w:u w:val="single"/>
        </w:rPr>
      </w:pPr>
      <w:r>
        <w:rPr>
          <w:rFonts w:cstheme="minorHAnsi"/>
          <w:b/>
          <w:sz w:val="24"/>
          <w:szCs w:val="24"/>
          <w:u w:val="single"/>
        </w:rPr>
        <w:t xml:space="preserve">Část </w:t>
      </w:r>
      <w:proofErr w:type="gramStart"/>
      <w:r>
        <w:rPr>
          <w:rFonts w:cstheme="minorHAnsi"/>
          <w:b/>
          <w:sz w:val="24"/>
          <w:szCs w:val="24"/>
          <w:u w:val="single"/>
        </w:rPr>
        <w:t>19  Přístroj</w:t>
      </w:r>
      <w:proofErr w:type="gramEnd"/>
      <w:r>
        <w:rPr>
          <w:rFonts w:cstheme="minorHAnsi"/>
          <w:b/>
          <w:sz w:val="24"/>
          <w:szCs w:val="24"/>
          <w:u w:val="single"/>
        </w:rPr>
        <w:t xml:space="preserve"> dialyzační</w:t>
      </w:r>
    </w:p>
    <w:p w14:paraId="77D93C29" w14:textId="77777777" w:rsidR="006F76E0" w:rsidRDefault="006F76E0" w:rsidP="006F76E0">
      <w:pPr>
        <w:rPr>
          <w:rFonts w:cstheme="minorHAnsi"/>
          <w:b/>
          <w:sz w:val="24"/>
          <w:szCs w:val="24"/>
          <w:u w:val="single"/>
        </w:rPr>
      </w:pPr>
      <w:r>
        <w:rPr>
          <w:rFonts w:cstheme="minorHAnsi"/>
          <w:b/>
          <w:sz w:val="24"/>
          <w:szCs w:val="24"/>
          <w:u w:val="single"/>
        </w:rPr>
        <w:t>1</w:t>
      </w:r>
      <w:r>
        <w:rPr>
          <w:rFonts w:cstheme="minorHAnsi"/>
          <w:b/>
          <w:sz w:val="24"/>
          <w:szCs w:val="24"/>
          <w:u w:val="single"/>
        </w:rPr>
        <w:tab/>
        <w:t xml:space="preserve">Předmět plnění veřejné zakázky </w:t>
      </w:r>
    </w:p>
    <w:p w14:paraId="63E5D838" w14:textId="4CEC38B3" w:rsidR="00A84A89" w:rsidRDefault="006F76E0" w:rsidP="006F76E0">
      <w:pPr>
        <w:shd w:val="clear" w:color="auto" w:fill="FFFFFF"/>
        <w:jc w:val="both"/>
        <w:rPr>
          <w:rFonts w:cstheme="minorHAnsi"/>
          <w:bCs/>
          <w:sz w:val="24"/>
          <w:szCs w:val="24"/>
        </w:rPr>
      </w:pPr>
      <w:r>
        <w:rPr>
          <w:rFonts w:cstheme="minorHAnsi"/>
          <w:bCs/>
          <w:sz w:val="24"/>
          <w:szCs w:val="24"/>
        </w:rPr>
        <w:t xml:space="preserve">Předmětem plnění této části veřejné zakázky je dodávka nového zdravotnického přístroje se zárukou za jakost a plnou provozuschopnost min. </w:t>
      </w:r>
      <w:r w:rsidR="00077D2D">
        <w:rPr>
          <w:rFonts w:cstheme="minorHAnsi"/>
          <w:bCs/>
          <w:sz w:val="24"/>
          <w:szCs w:val="24"/>
        </w:rPr>
        <w:t>24</w:t>
      </w:r>
      <w:r>
        <w:rPr>
          <w:rFonts w:cstheme="minorHAnsi"/>
          <w:bCs/>
          <w:sz w:val="24"/>
          <w:szCs w:val="24"/>
        </w:rPr>
        <w:t xml:space="preserve"> měsíců. Předmět plnění veřejná zakázky bude zahrnovat i instalaci, montáž a uvedení dodaných zařízení do provozu. Dodávka, instalace a uvedení zařízení do provozu v sídle zadavatele musí být provedeny v souladu s platnými právními předpisy ČR a normami a dle obecně závazných předpisů a doporučených metodik výrobce. Součástí nabídkové ceny bude provádění validací nebo PBTK (periodických bezpečnostně technických kontrol) dodávaných přístrojů </w:t>
      </w:r>
      <w:r w:rsidRPr="00241BCE">
        <w:rPr>
          <w:rFonts w:cstheme="minorHAnsi"/>
          <w:bCs/>
          <w:sz w:val="24"/>
          <w:szCs w:val="24"/>
        </w:rPr>
        <w:t xml:space="preserve">po dobu </w:t>
      </w:r>
      <w:r w:rsidR="00077D2D" w:rsidRPr="00241BCE">
        <w:rPr>
          <w:rFonts w:cstheme="minorHAnsi"/>
          <w:bCs/>
          <w:sz w:val="24"/>
          <w:szCs w:val="24"/>
        </w:rPr>
        <w:t>24</w:t>
      </w:r>
      <w:r w:rsidRPr="00241BCE">
        <w:rPr>
          <w:rFonts w:cstheme="minorHAnsi"/>
          <w:bCs/>
          <w:sz w:val="24"/>
          <w:szCs w:val="24"/>
        </w:rPr>
        <w:t xml:space="preserve"> měsíců (</w:t>
      </w:r>
      <w:r>
        <w:rPr>
          <w:rFonts w:cstheme="minorHAnsi"/>
          <w:bCs/>
          <w:sz w:val="24"/>
          <w:szCs w:val="24"/>
        </w:rPr>
        <w:t>dle zákona č. 268/2014 Sb., o Zdravotnických prostředcích). Předmět plnění veřejné zakázky je specifikován  p</w:t>
      </w:r>
      <w:r w:rsidR="00A84A89">
        <w:rPr>
          <w:rFonts w:cstheme="minorHAnsi"/>
          <w:bCs/>
          <w:sz w:val="24"/>
          <w:szCs w:val="24"/>
        </w:rPr>
        <w:t>odrobnou technickou specifikací.</w:t>
      </w:r>
    </w:p>
    <w:p w14:paraId="03A4C8C5" w14:textId="77777777" w:rsidR="006F76E0" w:rsidRDefault="006F76E0" w:rsidP="006F76E0">
      <w:pPr>
        <w:shd w:val="clear" w:color="auto" w:fill="FFFFFF"/>
        <w:jc w:val="both"/>
        <w:rPr>
          <w:rFonts w:cstheme="minorHAnsi"/>
          <w:b/>
          <w:bCs/>
          <w:sz w:val="24"/>
          <w:szCs w:val="24"/>
          <w:u w:val="single"/>
        </w:rPr>
      </w:pPr>
      <w:r>
        <w:rPr>
          <w:rFonts w:cstheme="minorHAnsi"/>
          <w:bCs/>
          <w:sz w:val="24"/>
          <w:szCs w:val="24"/>
        </w:rPr>
        <w:t xml:space="preserve"> </w:t>
      </w:r>
      <w:r>
        <w:rPr>
          <w:rFonts w:cstheme="minorHAnsi"/>
          <w:b/>
          <w:bCs/>
          <w:sz w:val="24"/>
          <w:szCs w:val="24"/>
          <w:u w:val="single"/>
        </w:rPr>
        <w:t>2</w:t>
      </w:r>
      <w:r>
        <w:rPr>
          <w:rFonts w:cstheme="minorHAnsi"/>
          <w:b/>
          <w:bCs/>
          <w:sz w:val="24"/>
          <w:szCs w:val="24"/>
          <w:u w:val="single"/>
        </w:rPr>
        <w:tab/>
        <w:t>CPV kód</w:t>
      </w:r>
    </w:p>
    <w:p w14:paraId="63B6DAAC" w14:textId="77777777" w:rsidR="00937CAF" w:rsidRDefault="00937CAF" w:rsidP="00937CAF">
      <w:pPr>
        <w:shd w:val="clear" w:color="auto" w:fill="FFFFFF"/>
        <w:jc w:val="both"/>
        <w:rPr>
          <w:rFonts w:cstheme="minorHAnsi"/>
          <w:bCs/>
          <w:sz w:val="24"/>
          <w:szCs w:val="24"/>
        </w:rPr>
      </w:pPr>
      <w:r>
        <w:rPr>
          <w:rFonts w:cstheme="minorHAnsi"/>
          <w:bCs/>
          <w:sz w:val="24"/>
          <w:szCs w:val="24"/>
        </w:rPr>
        <w:t>33100000-1 Zdravotnické přístroje, 33181100-3  Přístroje pro hemodialýzu</w:t>
      </w:r>
    </w:p>
    <w:p w14:paraId="78EFDFA8" w14:textId="77777777" w:rsidR="006F76E0" w:rsidRDefault="006F76E0" w:rsidP="006F76E0">
      <w:pPr>
        <w:rPr>
          <w:rFonts w:cstheme="minorHAnsi"/>
          <w:b/>
          <w:sz w:val="24"/>
          <w:szCs w:val="24"/>
          <w:u w:val="single"/>
        </w:rPr>
      </w:pPr>
      <w:r>
        <w:rPr>
          <w:rFonts w:cstheme="minorHAnsi"/>
          <w:b/>
          <w:sz w:val="24"/>
          <w:szCs w:val="24"/>
          <w:u w:val="single"/>
        </w:rPr>
        <w:t>3</w:t>
      </w:r>
      <w:r>
        <w:rPr>
          <w:rFonts w:cstheme="minorHAnsi"/>
          <w:b/>
          <w:sz w:val="24"/>
          <w:szCs w:val="24"/>
          <w:u w:val="single"/>
        </w:rPr>
        <w:tab/>
        <w:t>Předpokládaná hodnota</w:t>
      </w:r>
    </w:p>
    <w:p w14:paraId="256434CE" w14:textId="77777777" w:rsidR="007954B5" w:rsidRDefault="007954B5" w:rsidP="007954B5">
      <w:pPr>
        <w:pStyle w:val="Odstavecseseznamem"/>
        <w:numPr>
          <w:ilvl w:val="0"/>
          <w:numId w:val="12"/>
        </w:numPr>
        <w:rPr>
          <w:rFonts w:asciiTheme="minorHAnsi" w:hAnsiTheme="minorHAnsi" w:cstheme="minorHAnsi"/>
        </w:rPr>
      </w:pPr>
      <w:r>
        <w:rPr>
          <w:rFonts w:asciiTheme="minorHAnsi" w:hAnsiTheme="minorHAnsi" w:cstheme="minorHAnsi"/>
        </w:rPr>
        <w:t>Předpokládaná hodnota za pořízení zdravotnické technologie a přístrojů je 650 000,- Kč bez DPH</w:t>
      </w:r>
    </w:p>
    <w:p w14:paraId="18A5F351" w14:textId="77777777" w:rsidR="007954B5" w:rsidRDefault="007954B5" w:rsidP="006F76E0">
      <w:pPr>
        <w:rPr>
          <w:rFonts w:cstheme="minorHAnsi"/>
          <w:sz w:val="24"/>
          <w:szCs w:val="24"/>
        </w:rPr>
      </w:pPr>
    </w:p>
    <w:p w14:paraId="31742924" w14:textId="77777777" w:rsidR="006F76E0" w:rsidRDefault="006F76E0" w:rsidP="006F76E0">
      <w:pPr>
        <w:rPr>
          <w:rFonts w:cstheme="minorHAnsi"/>
          <w:b/>
          <w:sz w:val="24"/>
          <w:szCs w:val="24"/>
          <w:u w:val="single"/>
        </w:rPr>
      </w:pPr>
      <w:r>
        <w:rPr>
          <w:rFonts w:cstheme="minorHAnsi"/>
          <w:b/>
          <w:sz w:val="24"/>
          <w:szCs w:val="24"/>
          <w:u w:val="single"/>
        </w:rPr>
        <w:t>4</w:t>
      </w:r>
      <w:r>
        <w:rPr>
          <w:rFonts w:cstheme="minorHAnsi"/>
          <w:b/>
          <w:sz w:val="24"/>
          <w:szCs w:val="24"/>
          <w:u w:val="single"/>
        </w:rPr>
        <w:tab/>
        <w:t>Předpokládaná doba plnění veřejné zakázky</w:t>
      </w:r>
    </w:p>
    <w:p w14:paraId="505B2531" w14:textId="77777777" w:rsidR="006F76E0" w:rsidRDefault="006F76E0" w:rsidP="00077D2D">
      <w:pPr>
        <w:jc w:val="both"/>
        <w:rPr>
          <w:rFonts w:cstheme="minorHAnsi"/>
          <w:sz w:val="24"/>
          <w:szCs w:val="24"/>
        </w:rPr>
      </w:pPr>
      <w:r>
        <w:rPr>
          <w:rFonts w:cstheme="minorHAnsi"/>
          <w:sz w:val="24"/>
          <w:szCs w:val="24"/>
        </w:rPr>
        <w:t xml:space="preserve">Termín plnění </w:t>
      </w:r>
      <w:r w:rsidR="00F5624D">
        <w:rPr>
          <w:rFonts w:cstheme="minorHAnsi"/>
          <w:sz w:val="24"/>
          <w:szCs w:val="24"/>
        </w:rPr>
        <w:t>této části</w:t>
      </w:r>
      <w:r>
        <w:rPr>
          <w:rFonts w:cstheme="minorHAnsi"/>
          <w:sz w:val="24"/>
          <w:szCs w:val="24"/>
        </w:rPr>
        <w:t xml:space="preserve"> veřejné zakázky je podmíněn ukončením zadávacího řízení na výběr dodavatele veřejné zakázky ve vztahu k příslušné části. Zadavatel si vyhrazuje právo změnit předpokládaný termín plnění veřejné zakázky s ohledem na případné prodloužení zadávacího řízení oproti obvyklým lhůtám vyplývajícím ze zákona č. 134/2016 Sb., v platném znění a z obvyklé praxe. </w:t>
      </w:r>
    </w:p>
    <w:p w14:paraId="53AE9DD8" w14:textId="1482B23E" w:rsidR="00E94DCD" w:rsidRDefault="00394259" w:rsidP="00E94DCD">
      <w:pPr>
        <w:rPr>
          <w:rFonts w:cstheme="minorHAnsi"/>
          <w:sz w:val="24"/>
          <w:szCs w:val="24"/>
        </w:rPr>
      </w:pPr>
      <w:r>
        <w:rPr>
          <w:rFonts w:cstheme="minorHAnsi"/>
          <w:sz w:val="24"/>
          <w:szCs w:val="24"/>
        </w:rPr>
        <w:t>Předpokládaný termín dodání je</w:t>
      </w:r>
      <w:r w:rsidR="006F76E0">
        <w:rPr>
          <w:rFonts w:cstheme="minorHAnsi"/>
          <w:sz w:val="24"/>
          <w:szCs w:val="24"/>
        </w:rPr>
        <w:t xml:space="preserve">: </w:t>
      </w:r>
      <w:r w:rsidR="00095C96">
        <w:rPr>
          <w:rFonts w:cstheme="minorHAnsi"/>
          <w:sz w:val="24"/>
          <w:szCs w:val="24"/>
        </w:rPr>
        <w:t>říjen-listopad 2018</w:t>
      </w:r>
      <w:r w:rsidR="00E94DCD">
        <w:rPr>
          <w:rFonts w:cstheme="minorHAnsi"/>
          <w:sz w:val="24"/>
          <w:szCs w:val="24"/>
        </w:rPr>
        <w:t xml:space="preserve"> s tím, že přesná lhůta k dodání zboží je stanovena v závazném návrhu smlouvy a bude zohledňovat i případné nepředpokládané prodloužení doby zadávacího řízení.</w:t>
      </w:r>
    </w:p>
    <w:p w14:paraId="6CEA4786" w14:textId="77777777" w:rsidR="00095C96" w:rsidRDefault="00095C96" w:rsidP="00095C96">
      <w:pPr>
        <w:ind w:firstLine="180"/>
        <w:rPr>
          <w:rFonts w:cstheme="minorHAnsi"/>
          <w:sz w:val="24"/>
          <w:szCs w:val="24"/>
        </w:rPr>
      </w:pPr>
    </w:p>
    <w:p w14:paraId="72C6DAA2" w14:textId="77777777" w:rsidR="006F76E0" w:rsidRDefault="006F76E0" w:rsidP="00095C96">
      <w:pPr>
        <w:ind w:firstLine="180"/>
        <w:rPr>
          <w:rFonts w:cstheme="minorHAnsi"/>
          <w:b/>
          <w:sz w:val="24"/>
          <w:szCs w:val="24"/>
          <w:u w:val="single"/>
        </w:rPr>
      </w:pPr>
      <w:r>
        <w:rPr>
          <w:rFonts w:cstheme="minorHAnsi"/>
          <w:b/>
          <w:sz w:val="24"/>
          <w:szCs w:val="24"/>
          <w:u w:val="single"/>
        </w:rPr>
        <w:lastRenderedPageBreak/>
        <w:t>5</w:t>
      </w:r>
      <w:r>
        <w:rPr>
          <w:rFonts w:cstheme="minorHAnsi"/>
          <w:b/>
          <w:sz w:val="24"/>
          <w:szCs w:val="24"/>
          <w:u w:val="single"/>
        </w:rPr>
        <w:tab/>
        <w:t>Kvalifikace dodavatelů</w:t>
      </w:r>
    </w:p>
    <w:p w14:paraId="51BE7BE7" w14:textId="77777777" w:rsidR="006F76E0" w:rsidRDefault="006F76E0" w:rsidP="006F76E0">
      <w:pPr>
        <w:pStyle w:val="Nadpis2"/>
        <w:numPr>
          <w:ilvl w:val="0"/>
          <w:numId w:val="0"/>
        </w:numPr>
        <w:tabs>
          <w:tab w:val="left" w:pos="708"/>
        </w:tabs>
        <w:rPr>
          <w:rFonts w:asciiTheme="minorHAnsi" w:hAnsiTheme="minorHAnsi" w:cstheme="minorHAnsi"/>
          <w:lang w:val="cs-CZ"/>
        </w:rPr>
      </w:pPr>
      <w:bookmarkStart w:id="0" w:name="_Toc325009587"/>
      <w:proofErr w:type="gramStart"/>
      <w:r>
        <w:rPr>
          <w:rFonts w:asciiTheme="minorHAnsi" w:hAnsiTheme="minorHAnsi" w:cstheme="minorHAnsi"/>
          <w:b w:val="0"/>
          <w:lang w:val="cs-CZ"/>
        </w:rPr>
        <w:t>5.1</w:t>
      </w:r>
      <w:proofErr w:type="gramEnd"/>
      <w:r>
        <w:rPr>
          <w:rFonts w:asciiTheme="minorHAnsi" w:hAnsiTheme="minorHAnsi" w:cstheme="minorHAnsi"/>
          <w:lang w:val="cs-CZ"/>
        </w:rPr>
        <w:tab/>
        <w:t>Způsobilým</w:t>
      </w:r>
      <w:r>
        <w:rPr>
          <w:rFonts w:asciiTheme="minorHAnsi" w:hAnsiTheme="minorHAnsi" w:cstheme="minorHAnsi"/>
        </w:rPr>
        <w:t xml:space="preserve"> pro plnění</w:t>
      </w:r>
      <w:r>
        <w:rPr>
          <w:rFonts w:asciiTheme="minorHAnsi" w:hAnsiTheme="minorHAnsi" w:cstheme="minorHAnsi"/>
          <w:lang w:val="cs-CZ"/>
        </w:rPr>
        <w:t xml:space="preserve"> části 1</w:t>
      </w:r>
      <w:r w:rsidR="00F5624D">
        <w:rPr>
          <w:rFonts w:asciiTheme="minorHAnsi" w:hAnsiTheme="minorHAnsi" w:cstheme="minorHAnsi"/>
          <w:lang w:val="cs-CZ"/>
        </w:rPr>
        <w:t>9</w:t>
      </w:r>
      <w:r>
        <w:rPr>
          <w:rFonts w:asciiTheme="minorHAnsi" w:hAnsiTheme="minorHAnsi" w:cstheme="minorHAnsi"/>
        </w:rPr>
        <w:t xml:space="preserve"> veřejné zakázky je </w:t>
      </w:r>
      <w:r>
        <w:rPr>
          <w:rFonts w:asciiTheme="minorHAnsi" w:hAnsiTheme="minorHAnsi" w:cstheme="minorHAnsi"/>
          <w:lang w:val="cs-CZ"/>
        </w:rPr>
        <w:t>účastník zadávacího řízení</w:t>
      </w:r>
      <w:r>
        <w:rPr>
          <w:rFonts w:asciiTheme="minorHAnsi" w:hAnsiTheme="minorHAnsi" w:cstheme="minorHAnsi"/>
        </w:rPr>
        <w:t xml:space="preserve">, </w:t>
      </w:r>
      <w:proofErr w:type="gramStart"/>
      <w:r>
        <w:rPr>
          <w:rFonts w:asciiTheme="minorHAnsi" w:hAnsiTheme="minorHAnsi" w:cstheme="minorHAnsi"/>
        </w:rPr>
        <w:t>který</w:t>
      </w:r>
      <w:bookmarkEnd w:id="0"/>
      <w:proofErr w:type="gramEnd"/>
    </w:p>
    <w:p w14:paraId="13A41AEC" w14:textId="77777777" w:rsidR="006F76E0" w:rsidRDefault="006F76E0" w:rsidP="006F76E0">
      <w:pPr>
        <w:rPr>
          <w:rFonts w:cstheme="minorHAnsi"/>
          <w:sz w:val="24"/>
          <w:szCs w:val="24"/>
        </w:rPr>
      </w:pPr>
      <w:bookmarkStart w:id="1" w:name="_Toc325026905"/>
      <w:bookmarkStart w:id="2" w:name="_Toc325026772"/>
      <w:bookmarkStart w:id="3" w:name="_Toc325009588"/>
      <w:r>
        <w:rPr>
          <w:rFonts w:cstheme="minorHAnsi"/>
          <w:sz w:val="24"/>
          <w:szCs w:val="24"/>
        </w:rPr>
        <w:t xml:space="preserve">5.1.1 </w:t>
      </w:r>
      <w:r>
        <w:rPr>
          <w:rFonts w:cstheme="minorHAnsi"/>
          <w:sz w:val="24"/>
          <w:szCs w:val="24"/>
        </w:rPr>
        <w:tab/>
        <w:t xml:space="preserve">prokáže splnění základní způsobilosti podle </w:t>
      </w:r>
      <w:proofErr w:type="spellStart"/>
      <w:r>
        <w:rPr>
          <w:rFonts w:cstheme="minorHAnsi"/>
          <w:sz w:val="24"/>
          <w:szCs w:val="24"/>
        </w:rPr>
        <w:t>ust</w:t>
      </w:r>
      <w:proofErr w:type="spellEnd"/>
      <w:r>
        <w:rPr>
          <w:rFonts w:cstheme="minorHAnsi"/>
          <w:sz w:val="24"/>
          <w:szCs w:val="24"/>
        </w:rPr>
        <w:t xml:space="preserve">. § 74  ZVZ, způsobem podle § 75 ZVZ </w:t>
      </w:r>
      <w:bookmarkEnd w:id="1"/>
      <w:bookmarkEnd w:id="2"/>
      <w:bookmarkEnd w:id="3"/>
    </w:p>
    <w:p w14:paraId="19A98696" w14:textId="77777777" w:rsidR="006F76E0" w:rsidRDefault="006F76E0" w:rsidP="006F76E0">
      <w:pPr>
        <w:rPr>
          <w:rFonts w:cstheme="minorHAnsi"/>
          <w:sz w:val="24"/>
          <w:szCs w:val="24"/>
        </w:rPr>
      </w:pPr>
      <w:bookmarkStart w:id="4" w:name="_Toc325026906"/>
      <w:bookmarkStart w:id="5" w:name="_Toc325026773"/>
      <w:bookmarkStart w:id="6" w:name="_Toc325009589"/>
      <w:r>
        <w:rPr>
          <w:rFonts w:cstheme="minorHAnsi"/>
          <w:sz w:val="24"/>
          <w:szCs w:val="24"/>
        </w:rPr>
        <w:t xml:space="preserve">5.1.2 </w:t>
      </w:r>
      <w:r>
        <w:rPr>
          <w:rFonts w:cstheme="minorHAnsi"/>
          <w:sz w:val="24"/>
          <w:szCs w:val="24"/>
        </w:rPr>
        <w:tab/>
        <w:t>prokáže splnění profesní způsobilosti podle odst. 5.2 této ZD,</w:t>
      </w:r>
      <w:bookmarkEnd w:id="4"/>
      <w:bookmarkEnd w:id="5"/>
      <w:bookmarkEnd w:id="6"/>
    </w:p>
    <w:p w14:paraId="77760D59" w14:textId="016BB6F9" w:rsidR="006F76E0" w:rsidRDefault="006F76E0" w:rsidP="003A2763">
      <w:pPr>
        <w:ind w:left="705" w:hanging="705"/>
        <w:rPr>
          <w:rFonts w:cstheme="minorHAnsi"/>
          <w:sz w:val="24"/>
          <w:szCs w:val="24"/>
        </w:rPr>
      </w:pPr>
      <w:r>
        <w:rPr>
          <w:rFonts w:cstheme="minorHAnsi"/>
          <w:sz w:val="24"/>
          <w:szCs w:val="24"/>
        </w:rPr>
        <w:t xml:space="preserve">5.1.3 </w:t>
      </w:r>
      <w:r>
        <w:rPr>
          <w:rFonts w:cstheme="minorHAnsi"/>
          <w:sz w:val="24"/>
          <w:szCs w:val="24"/>
        </w:rPr>
        <w:tab/>
      </w:r>
      <w:bookmarkStart w:id="7" w:name="_Toc325026908"/>
      <w:bookmarkStart w:id="8" w:name="_Toc325026775"/>
      <w:bookmarkStart w:id="9" w:name="_Toc325009591"/>
      <w:r>
        <w:rPr>
          <w:rFonts w:cstheme="minorHAnsi"/>
          <w:sz w:val="24"/>
          <w:szCs w:val="24"/>
        </w:rPr>
        <w:t>splní kritéria technické kvalifikace podle odst. 5.3 této ZD.</w:t>
      </w:r>
      <w:bookmarkStart w:id="10" w:name="__RefHeading__41_2138858144"/>
      <w:bookmarkEnd w:id="7"/>
      <w:bookmarkEnd w:id="8"/>
      <w:bookmarkEnd w:id="9"/>
      <w:bookmarkEnd w:id="10"/>
    </w:p>
    <w:p w14:paraId="06EB14C8" w14:textId="77777777" w:rsidR="006F76E0" w:rsidRDefault="006F76E0" w:rsidP="006F76E0">
      <w:pPr>
        <w:pStyle w:val="Nadpis2"/>
        <w:numPr>
          <w:ilvl w:val="0"/>
          <w:numId w:val="0"/>
        </w:numPr>
        <w:tabs>
          <w:tab w:val="left" w:pos="708"/>
        </w:tabs>
        <w:jc w:val="both"/>
        <w:rPr>
          <w:rFonts w:asciiTheme="minorHAnsi" w:hAnsiTheme="minorHAnsi" w:cstheme="minorHAnsi"/>
          <w:i/>
        </w:rPr>
      </w:pPr>
      <w:bookmarkStart w:id="11" w:name="_Toc325009595"/>
      <w:r>
        <w:rPr>
          <w:rFonts w:asciiTheme="minorHAnsi" w:hAnsiTheme="minorHAnsi" w:cstheme="minorHAnsi"/>
          <w:lang w:val="cs-CZ"/>
        </w:rPr>
        <w:t>5.2</w:t>
      </w:r>
      <w:r>
        <w:rPr>
          <w:rFonts w:asciiTheme="minorHAnsi" w:hAnsiTheme="minorHAnsi" w:cstheme="minorHAnsi"/>
          <w:lang w:val="cs-CZ"/>
        </w:rPr>
        <w:tab/>
      </w:r>
      <w:r>
        <w:rPr>
          <w:rFonts w:asciiTheme="minorHAnsi" w:hAnsiTheme="minorHAnsi" w:cstheme="minorHAnsi"/>
        </w:rPr>
        <w:t xml:space="preserve">Profesní </w:t>
      </w:r>
      <w:r>
        <w:rPr>
          <w:rFonts w:asciiTheme="minorHAnsi" w:hAnsiTheme="minorHAnsi" w:cstheme="minorHAnsi"/>
          <w:lang w:val="cs-CZ"/>
        </w:rPr>
        <w:t xml:space="preserve">způsobilost </w:t>
      </w:r>
      <w:r>
        <w:rPr>
          <w:rFonts w:asciiTheme="minorHAnsi" w:hAnsiTheme="minorHAnsi" w:cstheme="minorHAnsi"/>
        </w:rPr>
        <w:t xml:space="preserve">podle § </w:t>
      </w:r>
      <w:r>
        <w:rPr>
          <w:rFonts w:asciiTheme="minorHAnsi" w:hAnsiTheme="minorHAnsi" w:cstheme="minorHAnsi"/>
          <w:lang w:val="cs-CZ"/>
        </w:rPr>
        <w:t>77</w:t>
      </w:r>
      <w:r>
        <w:rPr>
          <w:rFonts w:asciiTheme="minorHAnsi" w:hAnsiTheme="minorHAnsi" w:cstheme="minorHAnsi"/>
        </w:rPr>
        <w:t xml:space="preserve"> </w:t>
      </w:r>
      <w:r>
        <w:rPr>
          <w:rFonts w:asciiTheme="minorHAnsi" w:hAnsiTheme="minorHAnsi" w:cstheme="minorHAnsi"/>
          <w:lang w:val="cs-CZ"/>
        </w:rPr>
        <w:t>odst. 1 a 2 ZVZ</w:t>
      </w:r>
      <w:bookmarkEnd w:id="11"/>
      <w:r>
        <w:rPr>
          <w:rFonts w:asciiTheme="minorHAnsi" w:hAnsiTheme="minorHAnsi" w:cstheme="minorHAnsi"/>
        </w:rPr>
        <w:t xml:space="preserve"> </w:t>
      </w:r>
      <w:r>
        <w:rPr>
          <w:rFonts w:asciiTheme="minorHAnsi" w:hAnsiTheme="minorHAnsi" w:cstheme="minorHAnsi"/>
          <w:lang w:val="cs-CZ"/>
        </w:rPr>
        <w:t xml:space="preserve"> </w:t>
      </w:r>
    </w:p>
    <w:p w14:paraId="03890378" w14:textId="77777777" w:rsidR="006F76E0" w:rsidRDefault="006F76E0" w:rsidP="006F76E0">
      <w:pPr>
        <w:rPr>
          <w:rFonts w:cstheme="minorHAnsi"/>
          <w:sz w:val="24"/>
          <w:szCs w:val="24"/>
        </w:rPr>
      </w:pPr>
      <w:bookmarkStart w:id="12" w:name="_Toc325026913"/>
      <w:bookmarkStart w:id="13" w:name="_Toc325026780"/>
      <w:bookmarkStart w:id="14" w:name="_Toc325009596"/>
      <w:r>
        <w:rPr>
          <w:rFonts w:cstheme="minorHAnsi"/>
          <w:sz w:val="24"/>
          <w:szCs w:val="24"/>
        </w:rPr>
        <w:t xml:space="preserve">5.2.1 </w:t>
      </w:r>
      <w:r>
        <w:rPr>
          <w:rFonts w:cstheme="minorHAnsi"/>
          <w:sz w:val="24"/>
          <w:szCs w:val="24"/>
        </w:rPr>
        <w:tab/>
        <w:t>Profesní způsobilost k plnění veřejné zakázky splňuje dodavatel, který předloží:</w:t>
      </w:r>
      <w:bookmarkEnd w:id="12"/>
      <w:bookmarkEnd w:id="13"/>
      <w:bookmarkEnd w:id="14"/>
    </w:p>
    <w:p w14:paraId="3A56B8A8" w14:textId="77777777" w:rsidR="006F76E0" w:rsidRDefault="006F76E0" w:rsidP="006F76E0">
      <w:pPr>
        <w:pStyle w:val="Normlnweb"/>
        <w:numPr>
          <w:ilvl w:val="0"/>
          <w:numId w:val="8"/>
        </w:numPr>
        <w:jc w:val="both"/>
        <w:rPr>
          <w:rFonts w:asciiTheme="minorHAnsi" w:hAnsiTheme="minorHAnsi" w:cstheme="minorHAnsi"/>
          <w:bCs/>
        </w:rPr>
      </w:pPr>
      <w:r>
        <w:rPr>
          <w:rFonts w:asciiTheme="minorHAnsi" w:hAnsiTheme="minorHAnsi" w:cstheme="minorHAnsi"/>
        </w:rPr>
        <w:t xml:space="preserve">výpis z obchodního rejstříku nebo jiné obdobné evidence, pokud jiný právní předpis zápis do takové evidence vyžaduje, </w:t>
      </w:r>
    </w:p>
    <w:p w14:paraId="1D480E3C" w14:textId="77777777" w:rsidR="00077D2D" w:rsidRDefault="00077D2D" w:rsidP="006F76E0">
      <w:pPr>
        <w:pStyle w:val="Normlnweb"/>
        <w:jc w:val="both"/>
        <w:rPr>
          <w:rFonts w:asciiTheme="minorHAnsi" w:hAnsiTheme="minorHAnsi" w:cstheme="minorHAnsi"/>
        </w:rPr>
      </w:pPr>
    </w:p>
    <w:p w14:paraId="3A635094" w14:textId="77777777" w:rsidR="006F76E0" w:rsidRDefault="006F76E0" w:rsidP="006F76E0">
      <w:pPr>
        <w:pStyle w:val="Normlnweb"/>
        <w:jc w:val="both"/>
        <w:rPr>
          <w:rFonts w:asciiTheme="minorHAnsi" w:hAnsiTheme="minorHAnsi" w:cstheme="minorHAnsi"/>
        </w:rPr>
      </w:pPr>
      <w:r>
        <w:rPr>
          <w:rFonts w:asciiTheme="minorHAnsi" w:hAnsiTheme="minorHAnsi" w:cstheme="minorHAnsi"/>
        </w:rPr>
        <w:t>Doklady podle tohoto článku dodavatel nemusí předložit, pokud právní předpisy v zemi jeho sídla obdobnou profesní způsobilost nevyžadují.</w:t>
      </w:r>
    </w:p>
    <w:p w14:paraId="0F1715A9" w14:textId="77777777" w:rsidR="006F76E0" w:rsidRDefault="006F76E0" w:rsidP="006F76E0">
      <w:pPr>
        <w:pStyle w:val="Normlnweb"/>
        <w:ind w:left="705"/>
        <w:jc w:val="both"/>
        <w:rPr>
          <w:rFonts w:asciiTheme="minorHAnsi" w:hAnsiTheme="minorHAnsi" w:cstheme="minorHAnsi"/>
        </w:rPr>
      </w:pPr>
    </w:p>
    <w:p w14:paraId="03A6AA59" w14:textId="77777777" w:rsidR="006F76E0" w:rsidRDefault="006F76E0" w:rsidP="006F76E0">
      <w:pPr>
        <w:pStyle w:val="Nadpis2"/>
        <w:numPr>
          <w:ilvl w:val="0"/>
          <w:numId w:val="0"/>
        </w:numPr>
        <w:tabs>
          <w:tab w:val="left" w:pos="708"/>
        </w:tabs>
        <w:jc w:val="both"/>
        <w:rPr>
          <w:rFonts w:asciiTheme="minorHAnsi" w:hAnsiTheme="minorHAnsi" w:cstheme="minorHAnsi"/>
        </w:rPr>
      </w:pPr>
      <w:bookmarkStart w:id="15" w:name="_Toc325009597"/>
      <w:r>
        <w:rPr>
          <w:rFonts w:asciiTheme="minorHAnsi" w:hAnsiTheme="minorHAnsi" w:cstheme="minorHAnsi"/>
          <w:lang w:val="cs-CZ"/>
        </w:rPr>
        <w:t>5.3</w:t>
      </w:r>
      <w:r>
        <w:rPr>
          <w:rFonts w:asciiTheme="minorHAnsi" w:hAnsiTheme="minorHAnsi" w:cstheme="minorHAnsi"/>
          <w:lang w:val="cs-CZ"/>
        </w:rPr>
        <w:tab/>
        <w:t>Kritéria technické</w:t>
      </w:r>
      <w:r>
        <w:rPr>
          <w:rFonts w:asciiTheme="minorHAnsi" w:hAnsiTheme="minorHAnsi" w:cstheme="minorHAnsi"/>
        </w:rPr>
        <w:t xml:space="preserve"> kvalifika</w:t>
      </w:r>
      <w:r>
        <w:rPr>
          <w:rFonts w:asciiTheme="minorHAnsi" w:hAnsiTheme="minorHAnsi" w:cstheme="minorHAnsi"/>
          <w:lang w:val="cs-CZ"/>
        </w:rPr>
        <w:t>ce</w:t>
      </w:r>
      <w:r>
        <w:rPr>
          <w:rFonts w:asciiTheme="minorHAnsi" w:hAnsiTheme="minorHAnsi" w:cstheme="minorHAnsi"/>
        </w:rPr>
        <w:t xml:space="preserve"> podle </w:t>
      </w:r>
      <w:proofErr w:type="spellStart"/>
      <w:r>
        <w:rPr>
          <w:rFonts w:asciiTheme="minorHAnsi" w:hAnsiTheme="minorHAnsi" w:cstheme="minorHAnsi"/>
          <w:lang w:val="cs-CZ"/>
        </w:rPr>
        <w:t>ust</w:t>
      </w:r>
      <w:proofErr w:type="spellEnd"/>
      <w:r>
        <w:rPr>
          <w:rFonts w:asciiTheme="minorHAnsi" w:hAnsiTheme="minorHAnsi" w:cstheme="minorHAnsi"/>
          <w:lang w:val="cs-CZ"/>
        </w:rPr>
        <w:t xml:space="preserve">. </w:t>
      </w:r>
      <w:r>
        <w:rPr>
          <w:rFonts w:asciiTheme="minorHAnsi" w:hAnsiTheme="minorHAnsi" w:cstheme="minorHAnsi"/>
        </w:rPr>
        <w:t xml:space="preserve">§ </w:t>
      </w:r>
      <w:r>
        <w:rPr>
          <w:rFonts w:asciiTheme="minorHAnsi" w:hAnsiTheme="minorHAnsi" w:cstheme="minorHAnsi"/>
          <w:lang w:val="cs-CZ"/>
        </w:rPr>
        <w:t>79</w:t>
      </w:r>
      <w:r>
        <w:rPr>
          <w:rFonts w:asciiTheme="minorHAnsi" w:hAnsiTheme="minorHAnsi" w:cstheme="minorHAnsi"/>
        </w:rPr>
        <w:t xml:space="preserve"> odst. </w:t>
      </w:r>
      <w:r>
        <w:rPr>
          <w:rFonts w:asciiTheme="minorHAnsi" w:hAnsiTheme="minorHAnsi" w:cstheme="minorHAnsi"/>
          <w:lang w:val="cs-CZ"/>
        </w:rPr>
        <w:t>2</w:t>
      </w:r>
      <w:r>
        <w:rPr>
          <w:rFonts w:asciiTheme="minorHAnsi" w:hAnsiTheme="minorHAnsi" w:cstheme="minorHAnsi"/>
        </w:rPr>
        <w:t xml:space="preserve"> ZVZ</w:t>
      </w:r>
      <w:bookmarkEnd w:id="15"/>
      <w:r>
        <w:rPr>
          <w:rFonts w:asciiTheme="minorHAnsi" w:hAnsiTheme="minorHAnsi" w:cstheme="minorHAnsi"/>
          <w:lang w:val="cs-CZ"/>
        </w:rPr>
        <w:t xml:space="preserve"> </w:t>
      </w:r>
    </w:p>
    <w:p w14:paraId="2BE1C36B" w14:textId="77777777" w:rsidR="006F76E0" w:rsidRDefault="006F76E0" w:rsidP="006F76E0">
      <w:pPr>
        <w:pStyle w:val="Normlnweb"/>
        <w:jc w:val="both"/>
        <w:rPr>
          <w:rFonts w:asciiTheme="minorHAnsi" w:hAnsiTheme="minorHAnsi" w:cstheme="minorHAnsi"/>
        </w:rPr>
      </w:pPr>
      <w:r>
        <w:rPr>
          <w:rFonts w:asciiTheme="minorHAnsi" w:hAnsiTheme="minorHAnsi" w:cstheme="minorHAnsi"/>
        </w:rPr>
        <w:t>K prokázání splnění kritérií technické kvalifikace požaduje zadavatel předložit tyto doklady:</w:t>
      </w:r>
    </w:p>
    <w:p w14:paraId="0F12A45C" w14:textId="77777777" w:rsidR="006F76E0" w:rsidRDefault="006F76E0" w:rsidP="006F76E0">
      <w:pPr>
        <w:rPr>
          <w:rFonts w:cstheme="minorHAnsi"/>
          <w:b/>
          <w:sz w:val="24"/>
          <w:szCs w:val="24"/>
        </w:rPr>
      </w:pPr>
      <w:bookmarkStart w:id="16" w:name="_Toc325026915"/>
      <w:bookmarkStart w:id="17" w:name="_Toc325026782"/>
      <w:bookmarkStart w:id="18" w:name="_Toc325009598"/>
    </w:p>
    <w:p w14:paraId="593811A5" w14:textId="1BBD3A10" w:rsidR="006F76E0" w:rsidRDefault="006F76E0" w:rsidP="006F76E0">
      <w:pPr>
        <w:rPr>
          <w:rFonts w:cstheme="minorHAnsi"/>
          <w:b/>
          <w:sz w:val="24"/>
          <w:szCs w:val="24"/>
        </w:rPr>
      </w:pPr>
      <w:r>
        <w:rPr>
          <w:rFonts w:cstheme="minorHAnsi"/>
          <w:b/>
          <w:sz w:val="24"/>
          <w:szCs w:val="24"/>
        </w:rPr>
        <w:t xml:space="preserve">5.3.1 </w:t>
      </w:r>
      <w:bookmarkEnd w:id="16"/>
      <w:bookmarkEnd w:id="17"/>
      <w:bookmarkEnd w:id="18"/>
      <w:r w:rsidR="00820B88">
        <w:rPr>
          <w:rFonts w:cstheme="minorHAnsi"/>
          <w:b/>
          <w:sz w:val="24"/>
          <w:szCs w:val="24"/>
        </w:rPr>
        <w:t>Kritéria technické kvalifikace podle § 79 odst. 2 písm. b) ZVZ splňuje dodavatel, který předloží seznam v</w:t>
      </w:r>
      <w:r w:rsidR="00394259">
        <w:rPr>
          <w:rFonts w:cstheme="minorHAnsi"/>
          <w:b/>
          <w:sz w:val="24"/>
          <w:szCs w:val="24"/>
        </w:rPr>
        <w:t xml:space="preserve">ýznamných dodávek poskytnutých </w:t>
      </w:r>
      <w:r w:rsidR="00820B88">
        <w:rPr>
          <w:rFonts w:cstheme="minorHAnsi"/>
          <w:b/>
          <w:sz w:val="24"/>
          <w:szCs w:val="24"/>
        </w:rPr>
        <w:t>dodavatelem za poslední 3 roky před zahájením zadávacího řízení včetně uvedení ceny a doby jejich poskytnutí a identifikace objednatele. Seznam musí odpovídat následujícím požadavkům:</w:t>
      </w:r>
    </w:p>
    <w:p w14:paraId="5709D7EF" w14:textId="77777777" w:rsidR="006F76E0" w:rsidRDefault="006F76E0" w:rsidP="006F76E0">
      <w:pPr>
        <w:pStyle w:val="Normlnweb"/>
        <w:numPr>
          <w:ilvl w:val="0"/>
          <w:numId w:val="9"/>
        </w:numPr>
        <w:jc w:val="both"/>
        <w:rPr>
          <w:rFonts w:asciiTheme="minorHAnsi" w:hAnsiTheme="minorHAnsi" w:cstheme="minorHAnsi"/>
          <w:b/>
        </w:rPr>
      </w:pPr>
      <w:r>
        <w:rPr>
          <w:rFonts w:asciiTheme="minorHAnsi" w:hAnsiTheme="minorHAnsi" w:cstheme="minorHAnsi"/>
          <w:b/>
        </w:rPr>
        <w:t>rozsah požadovaných informací a dokladů</w:t>
      </w:r>
    </w:p>
    <w:p w14:paraId="2FADC25E" w14:textId="77777777" w:rsidR="006F76E0" w:rsidRDefault="006F76E0" w:rsidP="006F76E0">
      <w:pPr>
        <w:pStyle w:val="Normlnweb"/>
        <w:ind w:left="705"/>
        <w:jc w:val="both"/>
        <w:rPr>
          <w:rFonts w:asciiTheme="minorHAnsi" w:hAnsiTheme="minorHAnsi" w:cstheme="minorHAnsi"/>
        </w:rPr>
      </w:pPr>
      <w:r>
        <w:rPr>
          <w:rFonts w:asciiTheme="minorHAnsi" w:hAnsiTheme="minorHAnsi" w:cstheme="minorHAnsi"/>
        </w:rPr>
        <w:t xml:space="preserve">Seznam významných dodávek musí zahrnovat cenu, rozsah a dobu plnění a identifikaci objednatele.  </w:t>
      </w:r>
    </w:p>
    <w:p w14:paraId="3806621F" w14:textId="77777777" w:rsidR="006F76E0" w:rsidRDefault="006F76E0" w:rsidP="006F76E0">
      <w:pPr>
        <w:pStyle w:val="Normlnweb"/>
        <w:ind w:left="1410"/>
        <w:jc w:val="both"/>
        <w:rPr>
          <w:rFonts w:asciiTheme="minorHAnsi" w:hAnsiTheme="minorHAnsi" w:cstheme="minorHAnsi"/>
        </w:rPr>
      </w:pPr>
    </w:p>
    <w:p w14:paraId="67EF0E29" w14:textId="77777777" w:rsidR="006F76E0" w:rsidRDefault="006F76E0" w:rsidP="006F76E0">
      <w:pPr>
        <w:pStyle w:val="Normlnweb"/>
        <w:numPr>
          <w:ilvl w:val="0"/>
          <w:numId w:val="9"/>
        </w:numPr>
        <w:jc w:val="both"/>
        <w:rPr>
          <w:rFonts w:asciiTheme="minorHAnsi" w:hAnsiTheme="minorHAnsi" w:cstheme="minorHAnsi"/>
          <w:b/>
        </w:rPr>
      </w:pPr>
      <w:r>
        <w:rPr>
          <w:rFonts w:asciiTheme="minorHAnsi" w:hAnsiTheme="minorHAnsi" w:cstheme="minorHAnsi"/>
          <w:b/>
        </w:rPr>
        <w:t>minimální úroveň požadavků na splnění těchto kvalifikačních kritérií</w:t>
      </w:r>
    </w:p>
    <w:p w14:paraId="58FF1EFF" w14:textId="2B4233BF" w:rsidR="00820B88" w:rsidRDefault="006F76E0" w:rsidP="00820B88">
      <w:pPr>
        <w:pStyle w:val="Normlnweb"/>
        <w:ind w:left="705"/>
        <w:jc w:val="both"/>
        <w:rPr>
          <w:rFonts w:asciiTheme="minorHAnsi" w:hAnsiTheme="minorHAnsi" w:cstheme="minorHAnsi"/>
        </w:rPr>
      </w:pPr>
      <w:r w:rsidRPr="00A84A89">
        <w:rPr>
          <w:rFonts w:asciiTheme="minorHAnsi" w:hAnsiTheme="minorHAnsi" w:cstheme="minorHAnsi"/>
        </w:rPr>
        <w:t>Dodavatel k prokázání splnění tohoto kritéria technické kvalifikace doloží seznam alespoň 3 významných dodávek souboru zdravotnické technologie obdobného charakteru a rozsahu s ohledem na předmět plnění této veřejné zakázky, v </w:t>
      </w:r>
      <w:proofErr w:type="gramStart"/>
      <w:r w:rsidRPr="00A84A89">
        <w:rPr>
          <w:rFonts w:asciiTheme="minorHAnsi" w:hAnsiTheme="minorHAnsi" w:cstheme="minorHAnsi"/>
        </w:rPr>
        <w:t>součtu  v minimálním</w:t>
      </w:r>
      <w:proofErr w:type="gramEnd"/>
      <w:r w:rsidRPr="00A84A89">
        <w:rPr>
          <w:rFonts w:asciiTheme="minorHAnsi" w:hAnsiTheme="minorHAnsi" w:cstheme="minorHAnsi"/>
        </w:rPr>
        <w:t xml:space="preserve"> objemu </w:t>
      </w:r>
      <w:r w:rsidR="00077D2D">
        <w:rPr>
          <w:rFonts w:asciiTheme="minorHAnsi" w:hAnsiTheme="minorHAnsi" w:cstheme="minorHAnsi"/>
          <w:b/>
        </w:rPr>
        <w:t> 1,2 mil</w:t>
      </w:r>
      <w:r w:rsidR="00A84A89" w:rsidRPr="00A84A89">
        <w:rPr>
          <w:rFonts w:asciiTheme="minorHAnsi" w:hAnsiTheme="minorHAnsi" w:cstheme="minorHAnsi"/>
        </w:rPr>
        <w:t>. Kč bez DPH</w:t>
      </w:r>
      <w:r w:rsidRPr="00A84A89">
        <w:rPr>
          <w:rFonts w:asciiTheme="minorHAnsi" w:hAnsiTheme="minorHAnsi" w:cstheme="minorHAnsi"/>
        </w:rPr>
        <w:t>.</w:t>
      </w:r>
      <w:r w:rsidR="00820B88" w:rsidRPr="00820B88">
        <w:rPr>
          <w:rFonts w:asciiTheme="minorHAnsi" w:hAnsiTheme="minorHAnsi" w:cstheme="minorHAnsi"/>
        </w:rPr>
        <w:t xml:space="preserve"> </w:t>
      </w:r>
      <w:r w:rsidR="00820B88">
        <w:rPr>
          <w:rFonts w:asciiTheme="minorHAnsi" w:hAnsiTheme="minorHAnsi" w:cstheme="minorHAnsi"/>
        </w:rPr>
        <w:t xml:space="preserve">Obdobným charakterem se rozumí zdravotnické přístroje určené k provádění lékařských zákroků stejného druhu, k jakým jsou určeny zdravotnické přístroje, které tvoří součást předmětu veřejné zakázky. Pro odstranění pochybností uvádí zadavatel, že referenční zakázka nemusí pokrývat svým předmětem všechny druhy lékařských zákroků, k jejichž provádění je zdravotnická technologie, tvořící předmět veřejné zakázky, určena. </w:t>
      </w:r>
    </w:p>
    <w:p w14:paraId="4E551040" w14:textId="77777777" w:rsidR="00820B88" w:rsidRDefault="00820B88" w:rsidP="00820B88">
      <w:pPr>
        <w:pStyle w:val="Normlnweb"/>
        <w:ind w:left="705"/>
        <w:jc w:val="both"/>
        <w:rPr>
          <w:rFonts w:asciiTheme="minorHAnsi" w:hAnsiTheme="minorHAnsi" w:cstheme="minorHAnsi"/>
        </w:rPr>
      </w:pPr>
    </w:p>
    <w:p w14:paraId="305D4B81" w14:textId="77777777" w:rsidR="006F76E0" w:rsidRDefault="006F76E0" w:rsidP="006F76E0">
      <w:pPr>
        <w:pStyle w:val="Normlnweb"/>
        <w:ind w:left="705"/>
        <w:jc w:val="both"/>
        <w:rPr>
          <w:rFonts w:asciiTheme="minorHAnsi" w:hAnsiTheme="minorHAnsi" w:cstheme="minorHAnsi"/>
        </w:rPr>
      </w:pPr>
    </w:p>
    <w:p w14:paraId="06266F0E" w14:textId="77777777" w:rsidR="006F76E0" w:rsidRDefault="006F76E0" w:rsidP="006F76E0">
      <w:pPr>
        <w:pStyle w:val="Normlnweb"/>
        <w:ind w:left="1410"/>
        <w:jc w:val="both"/>
        <w:rPr>
          <w:rFonts w:asciiTheme="minorHAnsi" w:hAnsiTheme="minorHAnsi" w:cstheme="minorHAnsi"/>
        </w:rPr>
      </w:pPr>
    </w:p>
    <w:p w14:paraId="0B7F21BD" w14:textId="77777777" w:rsidR="006F76E0" w:rsidRDefault="006F76E0" w:rsidP="006F76E0">
      <w:pPr>
        <w:rPr>
          <w:rFonts w:cstheme="minorHAnsi"/>
          <w:b/>
          <w:sz w:val="24"/>
          <w:szCs w:val="24"/>
        </w:rPr>
      </w:pPr>
      <w:r>
        <w:rPr>
          <w:rFonts w:cstheme="minorHAnsi"/>
          <w:b/>
          <w:sz w:val="24"/>
          <w:szCs w:val="24"/>
        </w:rPr>
        <w:lastRenderedPageBreak/>
        <w:t xml:space="preserve">5.3.2 </w:t>
      </w:r>
      <w:r w:rsidRPr="00A84A89">
        <w:rPr>
          <w:rFonts w:cstheme="minorHAnsi"/>
          <w:b/>
          <w:sz w:val="24"/>
          <w:szCs w:val="24"/>
        </w:rPr>
        <w:t>Kritéria technické kvalifikace podle § 79 odst. 2 písm. l) ZVZ splňuje dodavatel, který předloží doklad prokazující shodu jím nabízeného požadovaného výrobku s požadovanou technickou normou nebo technickým dokumentem</w:t>
      </w:r>
    </w:p>
    <w:p w14:paraId="273E053C" w14:textId="77777777" w:rsidR="006F76E0" w:rsidRDefault="006F76E0" w:rsidP="006F76E0">
      <w:pPr>
        <w:pStyle w:val="Normlnweb"/>
        <w:ind w:left="705" w:hanging="705"/>
        <w:jc w:val="both"/>
        <w:rPr>
          <w:rFonts w:asciiTheme="minorHAnsi" w:hAnsiTheme="minorHAnsi" w:cstheme="minorHAnsi"/>
          <w:b/>
        </w:rPr>
      </w:pPr>
    </w:p>
    <w:p w14:paraId="115BA3C5" w14:textId="77777777" w:rsidR="006F76E0" w:rsidRDefault="006F76E0" w:rsidP="006F76E0">
      <w:pPr>
        <w:numPr>
          <w:ilvl w:val="0"/>
          <w:numId w:val="11"/>
        </w:numPr>
        <w:suppressAutoHyphens/>
        <w:spacing w:after="0" w:line="240" w:lineRule="auto"/>
        <w:rPr>
          <w:rFonts w:cstheme="minorHAnsi"/>
          <w:b/>
          <w:sz w:val="24"/>
          <w:szCs w:val="24"/>
        </w:rPr>
      </w:pPr>
      <w:r>
        <w:rPr>
          <w:rFonts w:cstheme="minorHAnsi"/>
          <w:b/>
          <w:sz w:val="24"/>
          <w:szCs w:val="24"/>
        </w:rPr>
        <w:t>rozsah požadovaných informací a dokladů</w:t>
      </w:r>
    </w:p>
    <w:p w14:paraId="03A66F4C" w14:textId="7D264EDA" w:rsidR="006F76E0" w:rsidRDefault="00820B88" w:rsidP="006F76E0">
      <w:pPr>
        <w:ind w:left="708"/>
        <w:jc w:val="both"/>
        <w:rPr>
          <w:rFonts w:cstheme="minorHAnsi"/>
          <w:sz w:val="24"/>
          <w:szCs w:val="24"/>
        </w:rPr>
      </w:pPr>
      <w:r>
        <w:rPr>
          <w:rFonts w:cstheme="minorHAnsi"/>
          <w:sz w:val="24"/>
          <w:szCs w:val="24"/>
        </w:rPr>
        <w:t>Účastník</w:t>
      </w:r>
      <w:r w:rsidR="006F76E0">
        <w:rPr>
          <w:rFonts w:cstheme="minorHAnsi"/>
          <w:sz w:val="24"/>
          <w:szCs w:val="24"/>
        </w:rPr>
        <w:t xml:space="preserve"> předloží ke každému nabízenému výrobku prohlášení o shodě a CE certifikát, popř. další certifikáty deklarující technické vlastnosti výrobku. Uvedené doklady a jejich obsah musí odpovídat požadavkům zákona č. 268/2014 Sb., o zdravotnických prostředcích a o změně některých souvisejících zákonů, ve znění pozdějších předpisů jeho prováděcích předpisů (</w:t>
      </w:r>
      <w:proofErr w:type="spellStart"/>
      <w:r w:rsidR="006F76E0">
        <w:rPr>
          <w:rFonts w:cstheme="minorHAnsi"/>
          <w:sz w:val="24"/>
          <w:szCs w:val="24"/>
        </w:rPr>
        <w:t>vyhl</w:t>
      </w:r>
      <w:proofErr w:type="spellEnd"/>
      <w:r w:rsidR="006F76E0">
        <w:rPr>
          <w:rFonts w:cstheme="minorHAnsi"/>
          <w:sz w:val="24"/>
          <w:szCs w:val="24"/>
        </w:rPr>
        <w:t>. MZ ČR č. 62/2015 Sb., v platném znění, nařízení vlády č. 54/2015 Sb., v platném znění, nařízení vlády č. 55/2015 Sb., v platném znění, nařízení vlády č. 56/2015 Sb., v platném znění).</w:t>
      </w:r>
    </w:p>
    <w:p w14:paraId="230868F7" w14:textId="77777777" w:rsidR="006F76E0" w:rsidRDefault="006F76E0" w:rsidP="006F76E0">
      <w:pPr>
        <w:numPr>
          <w:ilvl w:val="0"/>
          <w:numId w:val="11"/>
        </w:numPr>
        <w:suppressAutoHyphens/>
        <w:spacing w:after="0" w:line="240" w:lineRule="auto"/>
        <w:rPr>
          <w:rFonts w:cstheme="minorHAnsi"/>
          <w:b/>
          <w:sz w:val="24"/>
          <w:szCs w:val="24"/>
        </w:rPr>
      </w:pPr>
      <w:r>
        <w:rPr>
          <w:rFonts w:cstheme="minorHAnsi"/>
          <w:b/>
          <w:sz w:val="24"/>
          <w:szCs w:val="24"/>
        </w:rPr>
        <w:t>způsob prokázání splnění těchto kritérií technické kvalifikace</w:t>
      </w:r>
    </w:p>
    <w:p w14:paraId="14AF819B" w14:textId="77777777" w:rsidR="00F5624D" w:rsidRPr="00F5624D" w:rsidRDefault="00820B88" w:rsidP="00F5624D">
      <w:pPr>
        <w:ind w:left="708"/>
        <w:jc w:val="both"/>
        <w:rPr>
          <w:rFonts w:ascii="Calibri" w:hAnsi="Calibri"/>
          <w:sz w:val="24"/>
          <w:szCs w:val="24"/>
        </w:rPr>
      </w:pPr>
      <w:r>
        <w:rPr>
          <w:rFonts w:ascii="Calibri" w:hAnsi="Calibri"/>
          <w:sz w:val="24"/>
          <w:szCs w:val="24"/>
        </w:rPr>
        <w:t>Účastník</w:t>
      </w:r>
      <w:r w:rsidR="00F5624D" w:rsidRPr="00F5624D">
        <w:rPr>
          <w:rFonts w:ascii="Calibri" w:hAnsi="Calibri"/>
          <w:sz w:val="24"/>
          <w:szCs w:val="24"/>
        </w:rPr>
        <w:t xml:space="preserve"> předloží požadovaná prohlášení, případně certifikáty deklarující technické vlastnosti výrobku v kopii originálu v jazyce certifikační aut</w:t>
      </w:r>
      <w:r w:rsidR="00C73510">
        <w:rPr>
          <w:rFonts w:ascii="Calibri" w:hAnsi="Calibri"/>
          <w:sz w:val="24"/>
          <w:szCs w:val="24"/>
        </w:rPr>
        <w:t>ority s českým překladem</w:t>
      </w:r>
      <w:r w:rsidR="00F5624D" w:rsidRPr="00F5624D">
        <w:rPr>
          <w:rFonts w:ascii="Calibri" w:hAnsi="Calibri"/>
          <w:sz w:val="24"/>
          <w:szCs w:val="24"/>
        </w:rPr>
        <w:t>.</w:t>
      </w:r>
    </w:p>
    <w:p w14:paraId="2C0BE1CA" w14:textId="77777777" w:rsidR="006F76E0" w:rsidRDefault="006F76E0" w:rsidP="006F76E0">
      <w:pPr>
        <w:numPr>
          <w:ilvl w:val="0"/>
          <w:numId w:val="11"/>
        </w:numPr>
        <w:suppressAutoHyphens/>
        <w:spacing w:after="0" w:line="240" w:lineRule="auto"/>
        <w:rPr>
          <w:rFonts w:cstheme="minorHAnsi"/>
          <w:b/>
          <w:sz w:val="24"/>
          <w:szCs w:val="24"/>
        </w:rPr>
      </w:pPr>
      <w:r>
        <w:rPr>
          <w:rFonts w:cstheme="minorHAnsi"/>
          <w:b/>
          <w:sz w:val="24"/>
          <w:szCs w:val="24"/>
        </w:rPr>
        <w:t>minimální úroveň těchto kvalifikačních předpokladů</w:t>
      </w:r>
    </w:p>
    <w:p w14:paraId="5EE1CAFD" w14:textId="24955A7C" w:rsidR="006F76E0" w:rsidRDefault="006F76E0" w:rsidP="00A84A89">
      <w:pPr>
        <w:ind w:left="709"/>
        <w:jc w:val="both"/>
        <w:rPr>
          <w:rFonts w:cstheme="minorHAnsi"/>
          <w:sz w:val="24"/>
          <w:szCs w:val="24"/>
        </w:rPr>
      </w:pPr>
      <w:r>
        <w:rPr>
          <w:rFonts w:cstheme="minorHAnsi"/>
          <w:sz w:val="24"/>
          <w:szCs w:val="24"/>
        </w:rPr>
        <w:t xml:space="preserve"> </w:t>
      </w:r>
      <w:r w:rsidR="00820B88">
        <w:rPr>
          <w:rFonts w:cstheme="minorHAnsi"/>
          <w:sz w:val="24"/>
          <w:szCs w:val="24"/>
        </w:rPr>
        <w:t>Účastník</w:t>
      </w:r>
      <w:r>
        <w:rPr>
          <w:rFonts w:cstheme="minorHAnsi"/>
          <w:sz w:val="24"/>
          <w:szCs w:val="24"/>
        </w:rPr>
        <w:t xml:space="preserve"> uvedený kvalifikační požadavek splní, pokud doloží osvědčení či</w:t>
      </w:r>
      <w:r w:rsidR="00394259">
        <w:rPr>
          <w:rFonts w:cstheme="minorHAnsi"/>
          <w:sz w:val="24"/>
          <w:szCs w:val="24"/>
        </w:rPr>
        <w:t xml:space="preserve"> prohlášení dle bodu 5.3.2. a), </w:t>
      </w:r>
      <w:r>
        <w:rPr>
          <w:rFonts w:cstheme="minorHAnsi"/>
          <w:sz w:val="24"/>
          <w:szCs w:val="24"/>
        </w:rPr>
        <w:t>jejichž existenci vyžadují pro provozování příslušného technického zařízení platné právní předpisy České republiky, zejména pak ty, uvedené v bodu 5.3.2 a)</w:t>
      </w:r>
    </w:p>
    <w:p w14:paraId="17352620" w14:textId="77777777" w:rsidR="006F76E0" w:rsidRDefault="006F76E0" w:rsidP="006F76E0">
      <w:pPr>
        <w:pStyle w:val="Nadpis2"/>
        <w:numPr>
          <w:ilvl w:val="0"/>
          <w:numId w:val="0"/>
        </w:numPr>
        <w:tabs>
          <w:tab w:val="left" w:pos="708"/>
        </w:tabs>
        <w:jc w:val="both"/>
        <w:rPr>
          <w:rFonts w:asciiTheme="minorHAnsi" w:hAnsiTheme="minorHAnsi" w:cstheme="minorHAnsi"/>
        </w:rPr>
      </w:pPr>
      <w:bookmarkStart w:id="19" w:name="_Toc325009600"/>
      <w:r>
        <w:rPr>
          <w:rFonts w:asciiTheme="minorHAnsi" w:hAnsiTheme="minorHAnsi" w:cstheme="minorHAnsi"/>
          <w:lang w:val="cs-CZ"/>
        </w:rPr>
        <w:t>5.4</w:t>
      </w:r>
      <w:r>
        <w:rPr>
          <w:rFonts w:asciiTheme="minorHAnsi" w:hAnsiTheme="minorHAnsi" w:cstheme="minorHAnsi"/>
          <w:lang w:val="cs-CZ"/>
        </w:rPr>
        <w:tab/>
      </w:r>
      <w:r>
        <w:rPr>
          <w:rFonts w:asciiTheme="minorHAnsi" w:hAnsiTheme="minorHAnsi" w:cstheme="minorHAnsi"/>
        </w:rPr>
        <w:t xml:space="preserve">Prokázání kvalifikace prostřednictvím </w:t>
      </w:r>
      <w:bookmarkEnd w:id="19"/>
      <w:r>
        <w:rPr>
          <w:rFonts w:asciiTheme="minorHAnsi" w:hAnsiTheme="minorHAnsi" w:cstheme="minorHAnsi"/>
          <w:lang w:val="cs-CZ"/>
        </w:rPr>
        <w:t xml:space="preserve">jiných osob </w:t>
      </w:r>
    </w:p>
    <w:p w14:paraId="6D0467C6" w14:textId="77777777" w:rsidR="006F76E0" w:rsidRDefault="006F76E0" w:rsidP="006F76E0">
      <w:pPr>
        <w:ind w:left="709"/>
        <w:jc w:val="both"/>
        <w:rPr>
          <w:rFonts w:cstheme="minorHAnsi"/>
          <w:sz w:val="24"/>
          <w:szCs w:val="24"/>
        </w:rPr>
      </w:pPr>
      <w:bookmarkStart w:id="20" w:name="_Toc325026918"/>
      <w:bookmarkStart w:id="21" w:name="_Toc325026785"/>
      <w:bookmarkStart w:id="22" w:name="_Toc325009601"/>
      <w:r>
        <w:rPr>
          <w:rFonts w:cstheme="minorHAnsi"/>
          <w:sz w:val="24"/>
          <w:szCs w:val="24"/>
        </w:rPr>
        <w:t xml:space="preserve">Prostřednictvím jiné osoby může dodavatel prokázat kvalifikaci v souladu s ustanovením § 83 ZVZ. V případě, že bude uchazeč prostřednictvím jiné osoby prokazovat splnění ekonomické kvalifikace podle </w:t>
      </w:r>
      <w:proofErr w:type="spellStart"/>
      <w:r>
        <w:rPr>
          <w:rFonts w:cstheme="minorHAnsi"/>
          <w:sz w:val="24"/>
          <w:szCs w:val="24"/>
        </w:rPr>
        <w:t>ust</w:t>
      </w:r>
      <w:proofErr w:type="spellEnd"/>
      <w:r>
        <w:rPr>
          <w:rFonts w:cstheme="minorHAnsi"/>
          <w:sz w:val="24"/>
          <w:szCs w:val="24"/>
        </w:rPr>
        <w:t xml:space="preserve">. § 78 ZVZ, požaduje zadavatel, aby dodavatel prokázal, že dodavatel a jiná osoba, jejímž prostřednictvím dodavatel prokazuje ekonomickou kvalifikaci podle § 78, nesou společnou a nerozdílnou odpovědnost za plnění veřejné zakázky. </w:t>
      </w:r>
    </w:p>
    <w:p w14:paraId="5D0E0213" w14:textId="77777777" w:rsidR="006F76E0" w:rsidRDefault="006F76E0" w:rsidP="006F76E0">
      <w:pPr>
        <w:pStyle w:val="Nadpis2"/>
        <w:numPr>
          <w:ilvl w:val="0"/>
          <w:numId w:val="0"/>
        </w:numPr>
        <w:tabs>
          <w:tab w:val="left" w:pos="708"/>
        </w:tabs>
        <w:jc w:val="both"/>
        <w:rPr>
          <w:rFonts w:asciiTheme="minorHAnsi" w:hAnsiTheme="minorHAnsi" w:cstheme="minorHAnsi"/>
          <w:i/>
        </w:rPr>
      </w:pPr>
      <w:bookmarkStart w:id="23" w:name="_Toc325009606"/>
      <w:bookmarkEnd w:id="20"/>
      <w:bookmarkEnd w:id="21"/>
      <w:bookmarkEnd w:id="22"/>
      <w:r>
        <w:rPr>
          <w:rFonts w:asciiTheme="minorHAnsi" w:hAnsiTheme="minorHAnsi" w:cstheme="minorHAnsi"/>
          <w:lang w:val="cs-CZ"/>
        </w:rPr>
        <w:t>5.5</w:t>
      </w:r>
      <w:r>
        <w:rPr>
          <w:rFonts w:asciiTheme="minorHAnsi" w:hAnsiTheme="minorHAnsi" w:cstheme="minorHAnsi"/>
          <w:lang w:val="cs-CZ"/>
        </w:rPr>
        <w:tab/>
      </w:r>
      <w:r>
        <w:rPr>
          <w:rFonts w:asciiTheme="minorHAnsi" w:hAnsiTheme="minorHAnsi" w:cstheme="minorHAnsi"/>
        </w:rPr>
        <w:t>Pravost a stáří dokladů prokazujících splnění kvalifikace</w:t>
      </w:r>
      <w:r>
        <w:rPr>
          <w:rFonts w:asciiTheme="minorHAnsi" w:hAnsiTheme="minorHAnsi" w:cstheme="minorHAnsi"/>
          <w:lang w:val="cs-CZ"/>
        </w:rPr>
        <w:t xml:space="preserve"> </w:t>
      </w:r>
      <w:bookmarkEnd w:id="23"/>
    </w:p>
    <w:p w14:paraId="7D728983" w14:textId="77777777" w:rsidR="006F76E0" w:rsidRDefault="006F76E0" w:rsidP="006F76E0">
      <w:pPr>
        <w:ind w:left="709"/>
        <w:jc w:val="both"/>
        <w:rPr>
          <w:rFonts w:cstheme="minorHAnsi"/>
          <w:sz w:val="24"/>
          <w:szCs w:val="24"/>
        </w:rPr>
      </w:pPr>
      <w:bookmarkStart w:id="24" w:name="_Toc325026924"/>
      <w:bookmarkStart w:id="25" w:name="_Toc325026791"/>
      <w:bookmarkStart w:id="26" w:name="_Toc325009607"/>
      <w:r>
        <w:rPr>
          <w:rFonts w:cstheme="minorHAnsi"/>
          <w:sz w:val="24"/>
          <w:szCs w:val="24"/>
        </w:rPr>
        <w:t xml:space="preserve">Dodavatel prokazuje kvalifikaci doklady, které splňují náležitosti podle ustanovení § 86 ZVZ. Zadavatel stanoví, že čestným prohlášením podle </w:t>
      </w:r>
      <w:proofErr w:type="spellStart"/>
      <w:r>
        <w:rPr>
          <w:rFonts w:cstheme="minorHAnsi"/>
          <w:sz w:val="24"/>
          <w:szCs w:val="24"/>
        </w:rPr>
        <w:t>ust</w:t>
      </w:r>
      <w:proofErr w:type="spellEnd"/>
      <w:r>
        <w:rPr>
          <w:rFonts w:cstheme="minorHAnsi"/>
          <w:sz w:val="24"/>
          <w:szCs w:val="24"/>
        </w:rPr>
        <w:t xml:space="preserve">. § 86 odst. 2 ZVZ nelze nahradit předložení dokladů dle čl. </w:t>
      </w:r>
      <w:proofErr w:type="gramStart"/>
      <w:r>
        <w:rPr>
          <w:rFonts w:cstheme="minorHAnsi"/>
          <w:sz w:val="24"/>
          <w:szCs w:val="24"/>
        </w:rPr>
        <w:t>5.3.</w:t>
      </w:r>
      <w:r w:rsidR="00820B88">
        <w:rPr>
          <w:rFonts w:cstheme="minorHAnsi"/>
          <w:sz w:val="24"/>
          <w:szCs w:val="24"/>
        </w:rPr>
        <w:t>1</w:t>
      </w:r>
      <w:r>
        <w:rPr>
          <w:rFonts w:cstheme="minorHAnsi"/>
          <w:sz w:val="24"/>
          <w:szCs w:val="24"/>
        </w:rPr>
        <w:t xml:space="preserve">  těchto</w:t>
      </w:r>
      <w:proofErr w:type="gramEnd"/>
      <w:r>
        <w:rPr>
          <w:rFonts w:cstheme="minorHAnsi"/>
          <w:sz w:val="24"/>
          <w:szCs w:val="24"/>
        </w:rPr>
        <w:t xml:space="preserve"> zadávacích podmínek. Dodavatel však může vždy nahradit požadované doklady jednotným evropským osvědčením pro veřejné zakázky. </w:t>
      </w:r>
    </w:p>
    <w:p w14:paraId="2E125509" w14:textId="77777777" w:rsidR="006F76E0" w:rsidRDefault="006F76E0" w:rsidP="006F76E0">
      <w:pPr>
        <w:pStyle w:val="Nadpis2"/>
        <w:numPr>
          <w:ilvl w:val="0"/>
          <w:numId w:val="0"/>
        </w:numPr>
        <w:tabs>
          <w:tab w:val="left" w:pos="708"/>
        </w:tabs>
        <w:ind w:left="704" w:hanging="420"/>
        <w:jc w:val="both"/>
        <w:rPr>
          <w:rFonts w:asciiTheme="minorHAnsi" w:hAnsiTheme="minorHAnsi" w:cstheme="minorHAnsi"/>
        </w:rPr>
      </w:pPr>
      <w:bookmarkStart w:id="27" w:name="_Toc325009610"/>
      <w:bookmarkEnd w:id="24"/>
      <w:bookmarkEnd w:id="25"/>
      <w:bookmarkEnd w:id="26"/>
      <w:r>
        <w:rPr>
          <w:rFonts w:asciiTheme="minorHAnsi" w:hAnsiTheme="minorHAnsi" w:cstheme="minorHAnsi"/>
          <w:lang w:val="cs-CZ"/>
        </w:rPr>
        <w:lastRenderedPageBreak/>
        <w:t>5.6</w:t>
      </w:r>
      <w:r>
        <w:rPr>
          <w:rFonts w:asciiTheme="minorHAnsi" w:hAnsiTheme="minorHAnsi" w:cstheme="minorHAnsi"/>
          <w:lang w:val="cs-CZ"/>
        </w:rPr>
        <w:tab/>
      </w:r>
      <w:r>
        <w:rPr>
          <w:rFonts w:asciiTheme="minorHAnsi" w:hAnsiTheme="minorHAnsi" w:cstheme="minorHAnsi"/>
        </w:rPr>
        <w:t xml:space="preserve">Prokázání </w:t>
      </w:r>
      <w:r>
        <w:rPr>
          <w:rFonts w:asciiTheme="minorHAnsi" w:hAnsiTheme="minorHAnsi" w:cstheme="minorHAnsi"/>
          <w:lang w:val="cs-CZ"/>
        </w:rPr>
        <w:t xml:space="preserve">splnění </w:t>
      </w:r>
      <w:r>
        <w:rPr>
          <w:rFonts w:asciiTheme="minorHAnsi" w:hAnsiTheme="minorHAnsi" w:cstheme="minorHAnsi"/>
        </w:rPr>
        <w:t xml:space="preserve">kvalifikace výpisem ze seznamu kvalifikovaných dodavatelů, </w:t>
      </w:r>
      <w:r>
        <w:rPr>
          <w:rFonts w:asciiTheme="minorHAnsi" w:hAnsiTheme="minorHAnsi" w:cstheme="minorHAnsi"/>
          <w:lang w:val="cs-CZ"/>
        </w:rPr>
        <w:t>certifikátem v rámci schváleného systému</w:t>
      </w:r>
      <w:r>
        <w:rPr>
          <w:rFonts w:asciiTheme="minorHAnsi" w:hAnsiTheme="minorHAnsi" w:cstheme="minorHAnsi"/>
        </w:rPr>
        <w:t xml:space="preserve"> certifikovaných dodavatelů </w:t>
      </w:r>
      <w:bookmarkEnd w:id="27"/>
    </w:p>
    <w:p w14:paraId="10550A39" w14:textId="77777777" w:rsidR="006F76E0" w:rsidRDefault="006F76E0" w:rsidP="00077D2D">
      <w:pPr>
        <w:ind w:left="705" w:hanging="705"/>
        <w:jc w:val="both"/>
        <w:rPr>
          <w:rFonts w:cstheme="minorHAnsi"/>
          <w:sz w:val="24"/>
          <w:szCs w:val="24"/>
        </w:rPr>
      </w:pPr>
      <w:bookmarkStart w:id="28" w:name="_Toc325026928"/>
      <w:bookmarkStart w:id="29" w:name="_Toc325026795"/>
      <w:bookmarkStart w:id="30" w:name="_Toc325009611"/>
      <w:r>
        <w:rPr>
          <w:rFonts w:cstheme="minorHAnsi"/>
          <w:sz w:val="24"/>
          <w:szCs w:val="24"/>
        </w:rPr>
        <w:t xml:space="preserve">5.6.1 </w:t>
      </w:r>
      <w:r>
        <w:rPr>
          <w:rFonts w:cstheme="minorHAnsi"/>
          <w:sz w:val="24"/>
          <w:szCs w:val="24"/>
        </w:rPr>
        <w:tab/>
        <w:t xml:space="preserve">Dodavatelé mohou k prokázání základní způsobilosti dle § 74 ZVZ a profesní způsobilosti dle § 77 odst. 1 ZVZ předložit výpis ze seznamu kvalifikovaných dodavatelů podle § 228 ZVZ. </w:t>
      </w:r>
      <w:bookmarkEnd w:id="28"/>
      <w:bookmarkEnd w:id="29"/>
      <w:bookmarkEnd w:id="30"/>
    </w:p>
    <w:p w14:paraId="2975D8EB" w14:textId="77777777" w:rsidR="006F76E0" w:rsidRDefault="006F76E0" w:rsidP="00077D2D">
      <w:pPr>
        <w:ind w:left="705" w:hanging="705"/>
        <w:jc w:val="both"/>
        <w:rPr>
          <w:rFonts w:cstheme="minorHAnsi"/>
          <w:sz w:val="24"/>
          <w:szCs w:val="24"/>
        </w:rPr>
      </w:pPr>
      <w:bookmarkStart w:id="31" w:name="__RefHeading__23_2138858144"/>
      <w:bookmarkStart w:id="32" w:name="_Toc325009612"/>
      <w:bookmarkStart w:id="33" w:name="_Toc325026796"/>
      <w:bookmarkStart w:id="34" w:name="_Toc325026929"/>
      <w:bookmarkEnd w:id="31"/>
      <w:r>
        <w:rPr>
          <w:rFonts w:cstheme="minorHAnsi"/>
          <w:sz w:val="24"/>
          <w:szCs w:val="24"/>
        </w:rPr>
        <w:t xml:space="preserve">5.6.2 </w:t>
      </w:r>
      <w:r>
        <w:rPr>
          <w:rFonts w:cstheme="minorHAnsi"/>
          <w:sz w:val="24"/>
          <w:szCs w:val="24"/>
        </w:rPr>
        <w:tab/>
        <w:t xml:space="preserve">Dodavatelé mohou k prokázání splnění kvalifikace předložit certifikát vydaný v rámci schváleného systému certifikovaných dodavatelů podle § 233 a násl. ZVZ. </w:t>
      </w:r>
      <w:bookmarkEnd w:id="32"/>
      <w:bookmarkEnd w:id="33"/>
      <w:bookmarkEnd w:id="34"/>
    </w:p>
    <w:p w14:paraId="290F694B" w14:textId="77777777" w:rsidR="0027122B" w:rsidRPr="00BC498B" w:rsidRDefault="0027122B" w:rsidP="0027122B">
      <w:pPr>
        <w:rPr>
          <w:rFonts w:cstheme="minorHAnsi"/>
          <w:b/>
          <w:sz w:val="24"/>
          <w:szCs w:val="24"/>
          <w:u w:val="single"/>
        </w:rPr>
      </w:pPr>
      <w:r w:rsidRPr="00BC498B">
        <w:rPr>
          <w:rFonts w:cstheme="minorHAnsi"/>
          <w:b/>
          <w:sz w:val="24"/>
          <w:szCs w:val="24"/>
          <w:u w:val="single"/>
        </w:rPr>
        <w:t>6</w:t>
      </w:r>
      <w:r w:rsidRPr="00BC498B">
        <w:rPr>
          <w:rFonts w:cstheme="minorHAnsi"/>
          <w:b/>
          <w:sz w:val="24"/>
          <w:szCs w:val="24"/>
          <w:u w:val="single"/>
        </w:rPr>
        <w:tab/>
      </w:r>
      <w:r w:rsidRPr="00082330">
        <w:rPr>
          <w:rFonts w:cstheme="minorHAnsi"/>
          <w:b/>
          <w:sz w:val="24"/>
          <w:szCs w:val="24"/>
          <w:u w:val="single"/>
        </w:rPr>
        <w:t xml:space="preserve">Požadavky na způsob zpracování nabídkových cen </w:t>
      </w:r>
    </w:p>
    <w:p w14:paraId="4F472562" w14:textId="77777777" w:rsidR="0027122B" w:rsidRPr="00BC498B" w:rsidRDefault="0027122B" w:rsidP="0027122B">
      <w:pPr>
        <w:rPr>
          <w:rFonts w:cstheme="minorHAnsi"/>
          <w:b/>
          <w:sz w:val="24"/>
          <w:szCs w:val="24"/>
        </w:rPr>
      </w:pPr>
      <w:r w:rsidRPr="00BC498B">
        <w:rPr>
          <w:rFonts w:cstheme="minorHAnsi"/>
          <w:b/>
          <w:sz w:val="24"/>
          <w:szCs w:val="24"/>
        </w:rPr>
        <w:t>6.1</w:t>
      </w:r>
      <w:r w:rsidRPr="00BC498B">
        <w:rPr>
          <w:rFonts w:cstheme="minorHAnsi"/>
          <w:b/>
          <w:sz w:val="24"/>
          <w:szCs w:val="24"/>
        </w:rPr>
        <w:tab/>
        <w:t>Nabídkov</w:t>
      </w:r>
      <w:r>
        <w:rPr>
          <w:rFonts w:cstheme="minorHAnsi"/>
          <w:b/>
          <w:sz w:val="24"/>
          <w:szCs w:val="24"/>
        </w:rPr>
        <w:t>é ceny</w:t>
      </w:r>
    </w:p>
    <w:p w14:paraId="7771F0D9" w14:textId="77777777" w:rsidR="0027122B" w:rsidRDefault="0027122B" w:rsidP="0027122B">
      <w:pPr>
        <w:ind w:left="705" w:hanging="705"/>
        <w:jc w:val="both"/>
        <w:rPr>
          <w:rFonts w:cstheme="minorHAnsi"/>
          <w:sz w:val="24"/>
          <w:szCs w:val="24"/>
        </w:rPr>
      </w:pPr>
      <w:r w:rsidRPr="00BC498B">
        <w:rPr>
          <w:rFonts w:cstheme="minorHAnsi"/>
          <w:sz w:val="24"/>
          <w:szCs w:val="24"/>
        </w:rPr>
        <w:t>6.1.1</w:t>
      </w:r>
      <w:r w:rsidRPr="00BC498B">
        <w:rPr>
          <w:rFonts w:cstheme="minorHAnsi"/>
          <w:b/>
          <w:sz w:val="24"/>
          <w:szCs w:val="24"/>
        </w:rPr>
        <w:tab/>
      </w:r>
      <w:r w:rsidRPr="00BC498B">
        <w:rPr>
          <w:rFonts w:cstheme="minorHAnsi"/>
          <w:sz w:val="24"/>
          <w:szCs w:val="24"/>
        </w:rPr>
        <w:t xml:space="preserve">Dodavatel je povinen stanovit nabídkovou cenu </w:t>
      </w:r>
      <w:r>
        <w:rPr>
          <w:rFonts w:cstheme="minorHAnsi"/>
          <w:sz w:val="24"/>
          <w:szCs w:val="24"/>
        </w:rPr>
        <w:t xml:space="preserve">přístroje (definovaného dle technické specifikace, která je přílohou této části zadávací dokumentace) a to </w:t>
      </w:r>
      <w:r w:rsidRPr="00BC498B">
        <w:rPr>
          <w:rFonts w:cstheme="minorHAnsi"/>
          <w:sz w:val="24"/>
          <w:szCs w:val="24"/>
        </w:rPr>
        <w:t>absolutní částkou v českých korunách v členění bez DPH, částka DPH, s DPH, která bude uvedena na krycím listu nabídky a v návrhu Kupní smlouvy.</w:t>
      </w:r>
      <w:r>
        <w:rPr>
          <w:rFonts w:cstheme="minorHAnsi"/>
          <w:sz w:val="24"/>
          <w:szCs w:val="24"/>
        </w:rPr>
        <w:t xml:space="preserve"> Nabídková cena bude obsahovat všechny náklady prodávajícího spojené s dodáním zboží a plněním všech činností popsaných v čl. II bodech 1 až 4 závazného vzoru kupní smlouvy, který tvoří přílohu této části zadávací dokumentace.</w:t>
      </w:r>
    </w:p>
    <w:p w14:paraId="6931A346" w14:textId="77777777" w:rsidR="0027122B" w:rsidRPr="00BC498B" w:rsidRDefault="0027122B" w:rsidP="0027122B">
      <w:pPr>
        <w:ind w:left="705" w:hanging="705"/>
        <w:jc w:val="both"/>
        <w:rPr>
          <w:rFonts w:cstheme="minorHAnsi"/>
          <w:sz w:val="24"/>
          <w:szCs w:val="24"/>
        </w:rPr>
      </w:pPr>
      <w:r>
        <w:rPr>
          <w:rFonts w:cstheme="minorHAnsi"/>
          <w:sz w:val="24"/>
          <w:szCs w:val="24"/>
        </w:rPr>
        <w:t>6.1.2</w:t>
      </w:r>
      <w:r>
        <w:rPr>
          <w:rFonts w:cstheme="minorHAnsi"/>
          <w:sz w:val="24"/>
          <w:szCs w:val="24"/>
        </w:rPr>
        <w:tab/>
        <w:t xml:space="preserve">Dodavatel je v nabídce povinen samostatně specifikovat druh a rozsah samostatně dodávaného spotřebního materiálu, potřebného k zajištění </w:t>
      </w:r>
      <w:r w:rsidR="00A84A89">
        <w:rPr>
          <w:rFonts w:cstheme="minorHAnsi"/>
          <w:sz w:val="24"/>
          <w:szCs w:val="24"/>
        </w:rPr>
        <w:t xml:space="preserve">provedení 200 intermitentních dialýz, 5 pětidenních </w:t>
      </w:r>
      <w:proofErr w:type="spellStart"/>
      <w:r w:rsidR="00A84A89">
        <w:rPr>
          <w:rFonts w:cstheme="minorHAnsi"/>
          <w:sz w:val="24"/>
          <w:szCs w:val="24"/>
        </w:rPr>
        <w:t>plazmaforéz</w:t>
      </w:r>
      <w:proofErr w:type="spellEnd"/>
      <w:r w:rsidR="00A84A89">
        <w:rPr>
          <w:rFonts w:cstheme="minorHAnsi"/>
          <w:sz w:val="24"/>
          <w:szCs w:val="24"/>
        </w:rPr>
        <w:t xml:space="preserve"> a 40 </w:t>
      </w:r>
      <w:proofErr w:type="spellStart"/>
      <w:r w:rsidR="00A84A89">
        <w:rPr>
          <w:rFonts w:cstheme="minorHAnsi"/>
          <w:sz w:val="24"/>
          <w:szCs w:val="24"/>
        </w:rPr>
        <w:t>Ci</w:t>
      </w:r>
      <w:proofErr w:type="spellEnd"/>
      <w:r w:rsidR="00A84A89">
        <w:rPr>
          <w:rFonts w:cstheme="minorHAnsi"/>
          <w:sz w:val="24"/>
          <w:szCs w:val="24"/>
        </w:rPr>
        <w:t>-Ca kontinuálních dlouhodobých dialýz ročně</w:t>
      </w:r>
      <w:r>
        <w:rPr>
          <w:rFonts w:cstheme="minorHAnsi"/>
          <w:sz w:val="24"/>
          <w:szCs w:val="24"/>
        </w:rPr>
        <w:t xml:space="preserve">. </w:t>
      </w:r>
      <w:r w:rsidR="00820B88">
        <w:rPr>
          <w:rFonts w:cstheme="minorHAnsi"/>
          <w:sz w:val="24"/>
          <w:szCs w:val="24"/>
        </w:rPr>
        <w:t>Účastník zadávacího řízení</w:t>
      </w:r>
      <w:r>
        <w:rPr>
          <w:rFonts w:cstheme="minorHAnsi"/>
          <w:sz w:val="24"/>
          <w:szCs w:val="24"/>
        </w:rPr>
        <w:t xml:space="preserve"> uvede vžd</w:t>
      </w:r>
      <w:r w:rsidR="003B0C53">
        <w:rPr>
          <w:rFonts w:cstheme="minorHAnsi"/>
          <w:sz w:val="24"/>
          <w:szCs w:val="24"/>
        </w:rPr>
        <w:t>y konkrétní druh materiálu, jehož</w:t>
      </w:r>
      <w:r>
        <w:rPr>
          <w:rFonts w:cstheme="minorHAnsi"/>
          <w:sz w:val="24"/>
          <w:szCs w:val="24"/>
        </w:rPr>
        <w:t xml:space="preserve"> množství je potřeba pro daný počet využití (terapií), ocení jednotkovou cenu daného druhu materiálu a uvede celkovou cenu daného druhu materiálu pro </w:t>
      </w:r>
      <w:r w:rsidR="00A84A89">
        <w:rPr>
          <w:rFonts w:cstheme="minorHAnsi"/>
          <w:sz w:val="24"/>
          <w:szCs w:val="24"/>
        </w:rPr>
        <w:t xml:space="preserve">provedení 200 intermitentních dialýz, 5 pětidenních </w:t>
      </w:r>
      <w:proofErr w:type="spellStart"/>
      <w:r w:rsidR="00A84A89">
        <w:rPr>
          <w:rFonts w:cstheme="minorHAnsi"/>
          <w:sz w:val="24"/>
          <w:szCs w:val="24"/>
        </w:rPr>
        <w:t>plazmaforéz</w:t>
      </w:r>
      <w:proofErr w:type="spellEnd"/>
      <w:r w:rsidR="00A84A89">
        <w:rPr>
          <w:rFonts w:cstheme="minorHAnsi"/>
          <w:sz w:val="24"/>
          <w:szCs w:val="24"/>
        </w:rPr>
        <w:t xml:space="preserve"> a 40 </w:t>
      </w:r>
      <w:proofErr w:type="spellStart"/>
      <w:r w:rsidR="00A84A89">
        <w:rPr>
          <w:rFonts w:cstheme="minorHAnsi"/>
          <w:sz w:val="24"/>
          <w:szCs w:val="24"/>
        </w:rPr>
        <w:t>Ci</w:t>
      </w:r>
      <w:proofErr w:type="spellEnd"/>
      <w:r w:rsidR="00A84A89">
        <w:rPr>
          <w:rFonts w:cstheme="minorHAnsi"/>
          <w:sz w:val="24"/>
          <w:szCs w:val="24"/>
        </w:rPr>
        <w:t>-Ca kontinuálních dlouhodobých dialýz ročně</w:t>
      </w:r>
      <w:r>
        <w:rPr>
          <w:rFonts w:cstheme="minorHAnsi"/>
          <w:sz w:val="24"/>
          <w:szCs w:val="24"/>
        </w:rPr>
        <w:t xml:space="preserve">. Uvedený soupis bude následně tvořit přílohu návrhu kupní smlouvy.   </w:t>
      </w:r>
    </w:p>
    <w:p w14:paraId="3051AABE" w14:textId="77777777" w:rsidR="0027122B" w:rsidRPr="00BC498B" w:rsidRDefault="0027122B" w:rsidP="0027122B">
      <w:pPr>
        <w:ind w:left="705" w:hanging="705"/>
        <w:jc w:val="both"/>
        <w:rPr>
          <w:rFonts w:cstheme="minorHAnsi"/>
          <w:sz w:val="24"/>
          <w:szCs w:val="24"/>
        </w:rPr>
      </w:pPr>
      <w:r w:rsidRPr="00BC498B">
        <w:rPr>
          <w:rFonts w:cstheme="minorHAnsi"/>
          <w:sz w:val="24"/>
          <w:szCs w:val="24"/>
        </w:rPr>
        <w:t>6.1.</w:t>
      </w:r>
      <w:r>
        <w:rPr>
          <w:rFonts w:cstheme="minorHAnsi"/>
          <w:sz w:val="24"/>
          <w:szCs w:val="24"/>
        </w:rPr>
        <w:t>3</w:t>
      </w:r>
      <w:r w:rsidRPr="00BC498B">
        <w:rPr>
          <w:rFonts w:cstheme="minorHAnsi"/>
          <w:sz w:val="24"/>
          <w:szCs w:val="24"/>
        </w:rPr>
        <w:tab/>
      </w:r>
      <w:r>
        <w:rPr>
          <w:rFonts w:cstheme="minorHAnsi"/>
          <w:sz w:val="24"/>
          <w:szCs w:val="24"/>
        </w:rPr>
        <w:t xml:space="preserve">Dodavatel dále součástí nabídky učiní kalkulaci nákladů životního cyklu předmětu dodávky, která bude stanovena jakou součet kupní ceny dodávaného přístroje dle čl. 6.1.1 této části zadávací dokumentace a </w:t>
      </w:r>
      <w:r w:rsidRPr="007F4288">
        <w:rPr>
          <w:rFonts w:cstheme="minorHAnsi"/>
          <w:b/>
          <w:sz w:val="24"/>
          <w:szCs w:val="24"/>
        </w:rPr>
        <w:t>osminásobku</w:t>
      </w:r>
      <w:r>
        <w:rPr>
          <w:rFonts w:cstheme="minorHAnsi"/>
          <w:sz w:val="24"/>
          <w:szCs w:val="24"/>
        </w:rPr>
        <w:t xml:space="preserve"> souhrnu všech nákladů na nákup spotřebního materiálu potřebného k </w:t>
      </w:r>
      <w:r w:rsidR="00A84A89">
        <w:rPr>
          <w:rFonts w:cstheme="minorHAnsi"/>
          <w:sz w:val="24"/>
          <w:szCs w:val="24"/>
        </w:rPr>
        <w:t xml:space="preserve">provedení 200 intermitentních dialýz, 5 pětidenních </w:t>
      </w:r>
      <w:proofErr w:type="spellStart"/>
      <w:r w:rsidR="00A84A89">
        <w:rPr>
          <w:rFonts w:cstheme="minorHAnsi"/>
          <w:sz w:val="24"/>
          <w:szCs w:val="24"/>
        </w:rPr>
        <w:t>plazmaforéz</w:t>
      </w:r>
      <w:proofErr w:type="spellEnd"/>
      <w:r w:rsidR="00A84A89">
        <w:rPr>
          <w:rFonts w:cstheme="minorHAnsi"/>
          <w:sz w:val="24"/>
          <w:szCs w:val="24"/>
        </w:rPr>
        <w:t xml:space="preserve"> a 40 </w:t>
      </w:r>
      <w:proofErr w:type="spellStart"/>
      <w:r w:rsidR="00A84A89">
        <w:rPr>
          <w:rFonts w:cstheme="minorHAnsi"/>
          <w:sz w:val="24"/>
          <w:szCs w:val="24"/>
        </w:rPr>
        <w:t>Ci</w:t>
      </w:r>
      <w:proofErr w:type="spellEnd"/>
      <w:r w:rsidR="00A84A89">
        <w:rPr>
          <w:rFonts w:cstheme="minorHAnsi"/>
          <w:sz w:val="24"/>
          <w:szCs w:val="24"/>
        </w:rPr>
        <w:t xml:space="preserve">-Ca kontinuálních dlouhodobých dialýz </w:t>
      </w:r>
      <w:proofErr w:type="gramStart"/>
      <w:r w:rsidR="00A84A89">
        <w:rPr>
          <w:rFonts w:cstheme="minorHAnsi"/>
          <w:sz w:val="24"/>
          <w:szCs w:val="24"/>
        </w:rPr>
        <w:t xml:space="preserve">ročně </w:t>
      </w:r>
      <w:r>
        <w:rPr>
          <w:rFonts w:cstheme="minorHAnsi"/>
          <w:sz w:val="24"/>
          <w:szCs w:val="24"/>
        </w:rPr>
        <w:t xml:space="preserve"> tak</w:t>
      </w:r>
      <w:proofErr w:type="gramEnd"/>
      <w:r>
        <w:rPr>
          <w:rFonts w:cstheme="minorHAnsi"/>
          <w:sz w:val="24"/>
          <w:szCs w:val="24"/>
        </w:rPr>
        <w:t xml:space="preserve">, jak budou stanoveny dle čl. 6.1.2 této části zadávací dokumentace. </w:t>
      </w:r>
    </w:p>
    <w:p w14:paraId="48100D98" w14:textId="77777777" w:rsidR="006F76E0" w:rsidRDefault="0027122B" w:rsidP="00A84A89">
      <w:pPr>
        <w:ind w:left="705" w:hanging="705"/>
        <w:jc w:val="both"/>
        <w:rPr>
          <w:rFonts w:cstheme="minorHAnsi"/>
          <w:sz w:val="24"/>
          <w:szCs w:val="24"/>
        </w:rPr>
      </w:pPr>
      <w:r w:rsidRPr="00BC498B">
        <w:rPr>
          <w:rFonts w:cstheme="minorHAnsi"/>
          <w:sz w:val="24"/>
          <w:szCs w:val="24"/>
        </w:rPr>
        <w:t>6.1.</w:t>
      </w:r>
      <w:r>
        <w:rPr>
          <w:rFonts w:cstheme="minorHAnsi"/>
          <w:sz w:val="24"/>
          <w:szCs w:val="24"/>
        </w:rPr>
        <w:t>4</w:t>
      </w:r>
      <w:r w:rsidRPr="00BC498B">
        <w:rPr>
          <w:rFonts w:cstheme="minorHAnsi"/>
          <w:b/>
          <w:sz w:val="24"/>
          <w:szCs w:val="24"/>
        </w:rPr>
        <w:tab/>
      </w:r>
      <w:r w:rsidRPr="00BC498B">
        <w:rPr>
          <w:rFonts w:cstheme="minorHAnsi"/>
          <w:sz w:val="24"/>
          <w:szCs w:val="24"/>
        </w:rPr>
        <w:tab/>
        <w:t xml:space="preserve">Ceny </w:t>
      </w:r>
      <w:proofErr w:type="gramStart"/>
      <w:r>
        <w:rPr>
          <w:rFonts w:cstheme="minorHAnsi"/>
          <w:sz w:val="24"/>
          <w:szCs w:val="24"/>
        </w:rPr>
        <w:t>budu</w:t>
      </w:r>
      <w:proofErr w:type="gramEnd"/>
      <w:r>
        <w:rPr>
          <w:rFonts w:cstheme="minorHAnsi"/>
          <w:sz w:val="24"/>
          <w:szCs w:val="24"/>
        </w:rPr>
        <w:t xml:space="preserve"> </w:t>
      </w:r>
      <w:proofErr w:type="gramStart"/>
      <w:r>
        <w:rPr>
          <w:rFonts w:cstheme="minorHAnsi"/>
          <w:sz w:val="24"/>
          <w:szCs w:val="24"/>
        </w:rPr>
        <w:t>uváděny</w:t>
      </w:r>
      <w:proofErr w:type="gramEnd"/>
      <w:r>
        <w:rPr>
          <w:rFonts w:cstheme="minorHAnsi"/>
          <w:sz w:val="24"/>
          <w:szCs w:val="24"/>
        </w:rPr>
        <w:t xml:space="preserve"> bez DPH a budou </w:t>
      </w:r>
      <w:r w:rsidRPr="00BC498B">
        <w:rPr>
          <w:rFonts w:cstheme="minorHAnsi"/>
          <w:sz w:val="24"/>
          <w:szCs w:val="24"/>
        </w:rPr>
        <w:t>závazné a nejvýše přípustné, a to i při změně výše DPH</w:t>
      </w:r>
      <w:r>
        <w:rPr>
          <w:rFonts w:cstheme="minorHAnsi"/>
          <w:sz w:val="24"/>
          <w:szCs w:val="24"/>
        </w:rPr>
        <w:t>.</w:t>
      </w:r>
      <w:r w:rsidRPr="00BC498B">
        <w:rPr>
          <w:rFonts w:cstheme="minorHAnsi"/>
          <w:sz w:val="24"/>
          <w:szCs w:val="24"/>
        </w:rPr>
        <w:t xml:space="preserve"> </w:t>
      </w:r>
    </w:p>
    <w:p w14:paraId="4BFACB63" w14:textId="77777777" w:rsidR="00394259" w:rsidRDefault="00394259" w:rsidP="00A84A89">
      <w:pPr>
        <w:ind w:left="705" w:hanging="705"/>
        <w:jc w:val="both"/>
        <w:rPr>
          <w:rFonts w:cstheme="minorHAnsi"/>
          <w:sz w:val="24"/>
          <w:szCs w:val="24"/>
        </w:rPr>
      </w:pPr>
      <w:bookmarkStart w:id="35" w:name="_GoBack"/>
      <w:bookmarkEnd w:id="35"/>
    </w:p>
    <w:p w14:paraId="7056DA27" w14:textId="77777777" w:rsidR="00077D2D" w:rsidRDefault="00077D2D" w:rsidP="006F76E0">
      <w:pPr>
        <w:ind w:left="705" w:hanging="705"/>
        <w:rPr>
          <w:rFonts w:cstheme="minorHAnsi"/>
          <w:b/>
          <w:sz w:val="24"/>
          <w:szCs w:val="24"/>
          <w:u w:val="single"/>
        </w:rPr>
      </w:pPr>
    </w:p>
    <w:p w14:paraId="2AE66081" w14:textId="77777777" w:rsidR="006F76E0" w:rsidRDefault="006F76E0" w:rsidP="006F76E0">
      <w:pPr>
        <w:ind w:left="705" w:hanging="705"/>
        <w:rPr>
          <w:rFonts w:cstheme="minorHAnsi"/>
          <w:b/>
          <w:sz w:val="24"/>
          <w:szCs w:val="24"/>
          <w:u w:val="single"/>
        </w:rPr>
      </w:pPr>
      <w:r>
        <w:rPr>
          <w:rFonts w:cstheme="minorHAnsi"/>
          <w:b/>
          <w:sz w:val="24"/>
          <w:szCs w:val="24"/>
          <w:u w:val="single"/>
        </w:rPr>
        <w:t>7</w:t>
      </w:r>
      <w:r>
        <w:rPr>
          <w:rFonts w:cstheme="minorHAnsi"/>
          <w:b/>
          <w:sz w:val="24"/>
          <w:szCs w:val="24"/>
          <w:u w:val="single"/>
        </w:rPr>
        <w:tab/>
        <w:t>Jistota</w:t>
      </w:r>
    </w:p>
    <w:p w14:paraId="6310F7FF" w14:textId="77777777" w:rsidR="006F76E0" w:rsidRDefault="006F76E0" w:rsidP="006F76E0">
      <w:pPr>
        <w:pStyle w:val="Nadpis2"/>
        <w:numPr>
          <w:ilvl w:val="0"/>
          <w:numId w:val="0"/>
        </w:numPr>
        <w:tabs>
          <w:tab w:val="left" w:pos="708"/>
        </w:tabs>
        <w:jc w:val="both"/>
        <w:rPr>
          <w:rFonts w:asciiTheme="minorHAnsi" w:hAnsiTheme="minorHAnsi" w:cstheme="minorHAnsi"/>
          <w:lang w:val="cs-CZ"/>
        </w:rPr>
      </w:pPr>
      <w:r>
        <w:rPr>
          <w:rFonts w:asciiTheme="minorHAnsi" w:hAnsiTheme="minorHAnsi" w:cstheme="minorHAnsi"/>
        </w:rPr>
        <w:t>7.1</w:t>
      </w:r>
      <w:r>
        <w:rPr>
          <w:rFonts w:asciiTheme="minorHAnsi" w:hAnsiTheme="minorHAnsi" w:cstheme="minorHAnsi"/>
        </w:rPr>
        <w:tab/>
        <w:t xml:space="preserve">Zadavatel požaduje poskytnutí jistoty v souladu podle § </w:t>
      </w:r>
      <w:r>
        <w:rPr>
          <w:rFonts w:asciiTheme="minorHAnsi" w:hAnsiTheme="minorHAnsi" w:cstheme="minorHAnsi"/>
          <w:lang w:val="cs-CZ"/>
        </w:rPr>
        <w:t>41</w:t>
      </w:r>
      <w:r>
        <w:rPr>
          <w:rFonts w:asciiTheme="minorHAnsi" w:hAnsiTheme="minorHAnsi" w:cstheme="minorHAnsi"/>
        </w:rPr>
        <w:t xml:space="preserve"> ZVZ ve výši </w:t>
      </w:r>
      <w:r>
        <w:rPr>
          <w:rFonts w:asciiTheme="minorHAnsi" w:hAnsiTheme="minorHAnsi" w:cstheme="minorHAnsi"/>
          <w:lang w:val="cs-CZ"/>
        </w:rPr>
        <w:t>13 000</w:t>
      </w:r>
      <w:r>
        <w:rPr>
          <w:rFonts w:asciiTheme="minorHAnsi" w:hAnsiTheme="minorHAnsi" w:cstheme="minorHAnsi"/>
        </w:rPr>
        <w:t>,- Kč</w:t>
      </w:r>
    </w:p>
    <w:p w14:paraId="1D06E840" w14:textId="77777777" w:rsidR="006F76E0" w:rsidRDefault="006F76E0" w:rsidP="0027122B">
      <w:pPr>
        <w:ind w:left="705" w:hanging="705"/>
        <w:jc w:val="both"/>
        <w:rPr>
          <w:rFonts w:cstheme="minorHAnsi"/>
          <w:sz w:val="24"/>
          <w:szCs w:val="24"/>
        </w:rPr>
      </w:pPr>
      <w:r>
        <w:rPr>
          <w:rFonts w:cstheme="minorHAnsi"/>
          <w:sz w:val="24"/>
          <w:szCs w:val="24"/>
          <w:lang w:eastAsia="ar-SA"/>
        </w:rPr>
        <w:t>7.1.1</w:t>
      </w:r>
      <w:r>
        <w:rPr>
          <w:rFonts w:cstheme="minorHAnsi"/>
          <w:sz w:val="24"/>
          <w:szCs w:val="24"/>
          <w:lang w:eastAsia="ar-SA"/>
        </w:rPr>
        <w:tab/>
      </w:r>
      <w:r>
        <w:rPr>
          <w:rFonts w:cstheme="minorHAnsi"/>
          <w:sz w:val="24"/>
          <w:szCs w:val="24"/>
        </w:rPr>
        <w:t>Jistotu může uchazeč poskytnout formou složení peněžní částky na účet zadavatele vedený u České spořitelny, a.s. pod číslem 525226379/0800; variabilní symbol: IČO uchazeče nebo datum narození je-li uchazečem fyzická osoba; specifický symbol: Evidenční číslo veřejné zakázky. Částka musí být složena na účet zadavatele nejpozději  poslední den lhůty pro podání nabídek.</w:t>
      </w:r>
    </w:p>
    <w:p w14:paraId="2D08A755" w14:textId="77777777" w:rsidR="006F76E0" w:rsidRDefault="006F76E0" w:rsidP="0027122B">
      <w:pPr>
        <w:ind w:left="705" w:hanging="705"/>
        <w:jc w:val="both"/>
        <w:rPr>
          <w:rFonts w:cstheme="minorHAnsi"/>
          <w:sz w:val="24"/>
          <w:szCs w:val="24"/>
        </w:rPr>
      </w:pPr>
      <w:r>
        <w:rPr>
          <w:rFonts w:cstheme="minorHAnsi"/>
          <w:sz w:val="24"/>
          <w:szCs w:val="24"/>
        </w:rPr>
        <w:t>7.1.2</w:t>
      </w:r>
      <w:r>
        <w:rPr>
          <w:rFonts w:cstheme="minorHAnsi"/>
          <w:sz w:val="24"/>
          <w:szCs w:val="24"/>
        </w:rPr>
        <w:tab/>
        <w:t>Uchazeč může poskytnout jistotu také formou bankovní záruky nebo pojištění záruky ve prospěch zadavatele. Bankovní záruka nebo pojištění záruky musí být v písemné formě předložené zadavateli v nabídce. Při poskytnutí jistoty formou bankovní záruky nebo pojištění záruky nesmí být platnost bankovní záruky či pojištění záruky kratší než je zadávací lhůta. Originál listiny bankovní záruky nebo pojištění záruky bude součástí originálu nabídky. Pokud uchazeč požaduje vrácení originálu listiny bankovní záruky, musí nabídka obsahovat originál listiny bankovní záruky ve vyjímatelném obalu.</w:t>
      </w:r>
    </w:p>
    <w:p w14:paraId="400837AE" w14:textId="77777777" w:rsidR="006F76E0" w:rsidRDefault="006F76E0" w:rsidP="0027122B">
      <w:pPr>
        <w:ind w:left="705" w:hanging="705"/>
        <w:jc w:val="both"/>
        <w:rPr>
          <w:rFonts w:cstheme="minorHAnsi"/>
          <w:sz w:val="24"/>
          <w:szCs w:val="24"/>
        </w:rPr>
      </w:pPr>
      <w:r>
        <w:rPr>
          <w:rFonts w:cstheme="minorHAnsi"/>
          <w:sz w:val="24"/>
          <w:szCs w:val="24"/>
          <w:lang w:eastAsia="ar-SA"/>
        </w:rPr>
        <w:t>7.1.3</w:t>
      </w:r>
      <w:r>
        <w:rPr>
          <w:rFonts w:cstheme="minorHAnsi"/>
          <w:sz w:val="24"/>
          <w:szCs w:val="24"/>
          <w:lang w:eastAsia="ar-SA"/>
        </w:rPr>
        <w:tab/>
      </w:r>
      <w:r>
        <w:rPr>
          <w:rFonts w:cstheme="minorHAnsi"/>
          <w:sz w:val="24"/>
          <w:szCs w:val="24"/>
        </w:rPr>
        <w:t>Má-li být jistota poskytnuta formou pojištění záruky, pojistná smlouva musí být uzavřena tak, že pojištěným je uchazeč a oprávněnou osobou, která má právo na pojistné plnění, je zadavatel. Pojistitel vydá pojištěnému písemné prohlášení obsahující závazek vyplatit zadavateli pojistné plnění.</w:t>
      </w:r>
    </w:p>
    <w:p w14:paraId="164CD2D9" w14:textId="77777777" w:rsidR="006F76E0" w:rsidRDefault="006F76E0" w:rsidP="0027122B">
      <w:pPr>
        <w:ind w:left="705" w:hanging="705"/>
        <w:jc w:val="both"/>
        <w:rPr>
          <w:rFonts w:cstheme="minorHAnsi"/>
          <w:sz w:val="24"/>
          <w:szCs w:val="24"/>
        </w:rPr>
      </w:pPr>
      <w:r>
        <w:rPr>
          <w:rFonts w:cstheme="minorHAnsi"/>
          <w:sz w:val="24"/>
          <w:szCs w:val="24"/>
          <w:lang w:eastAsia="ar-SA"/>
        </w:rPr>
        <w:t>7.1.4</w:t>
      </w:r>
      <w:r>
        <w:rPr>
          <w:rFonts w:cstheme="minorHAnsi"/>
          <w:sz w:val="24"/>
          <w:szCs w:val="24"/>
          <w:lang w:eastAsia="ar-SA"/>
        </w:rPr>
        <w:tab/>
      </w:r>
      <w:r>
        <w:rPr>
          <w:rFonts w:cstheme="minorHAnsi"/>
          <w:sz w:val="24"/>
          <w:szCs w:val="24"/>
        </w:rPr>
        <w:t>Pokud účastníku zadávacího řízení v zadávací lhůtě zanikla účast v zadávacím řízení po vyloučení podle § 122 odst. 5 nebo § 124 odst. 2 ZVZ, má zadavatel právo na plnění z bankovní záruky nebo na pojistné plnění z pojištění záruky nebo mu připadá poskytnutá peněžní jistota včetně úroků zúčtovaných peněžním ústavem.</w:t>
      </w:r>
    </w:p>
    <w:p w14:paraId="3FFF9B6F" w14:textId="77777777" w:rsidR="00394259" w:rsidRDefault="00394259" w:rsidP="0027122B">
      <w:pPr>
        <w:ind w:left="705" w:hanging="705"/>
        <w:jc w:val="both"/>
        <w:rPr>
          <w:rFonts w:cstheme="minorHAnsi"/>
          <w:sz w:val="24"/>
          <w:szCs w:val="24"/>
        </w:rPr>
      </w:pPr>
    </w:p>
    <w:p w14:paraId="1C4190FF" w14:textId="3E64E706" w:rsidR="0027122B" w:rsidRPr="00BC498B" w:rsidRDefault="006F76E0" w:rsidP="0027122B">
      <w:pPr>
        <w:ind w:left="705" w:hanging="705"/>
        <w:rPr>
          <w:rFonts w:cstheme="minorHAnsi"/>
          <w:b/>
          <w:sz w:val="24"/>
          <w:szCs w:val="24"/>
          <w:u w:val="single"/>
          <w:lang w:eastAsia="ar-SA"/>
        </w:rPr>
      </w:pPr>
      <w:r>
        <w:rPr>
          <w:rFonts w:cstheme="minorHAnsi"/>
          <w:b/>
          <w:sz w:val="24"/>
          <w:szCs w:val="24"/>
          <w:u w:val="single"/>
          <w:lang w:eastAsia="ar-SA"/>
        </w:rPr>
        <w:t>8</w:t>
      </w:r>
      <w:r>
        <w:rPr>
          <w:rFonts w:cstheme="minorHAnsi"/>
          <w:b/>
          <w:sz w:val="24"/>
          <w:szCs w:val="24"/>
          <w:u w:val="single"/>
          <w:lang w:eastAsia="ar-SA"/>
        </w:rPr>
        <w:tab/>
      </w:r>
      <w:r w:rsidR="00394259">
        <w:rPr>
          <w:rFonts w:cstheme="minorHAnsi"/>
          <w:b/>
          <w:sz w:val="24"/>
          <w:szCs w:val="24"/>
          <w:u w:val="single"/>
          <w:lang w:eastAsia="ar-SA"/>
        </w:rPr>
        <w:t xml:space="preserve">Kritéria a způsob hodnocení </w:t>
      </w:r>
      <w:r w:rsidR="0027122B" w:rsidRPr="00BC498B">
        <w:rPr>
          <w:rFonts w:cstheme="minorHAnsi"/>
          <w:b/>
          <w:sz w:val="24"/>
          <w:szCs w:val="24"/>
          <w:u w:val="single"/>
          <w:lang w:eastAsia="ar-SA"/>
        </w:rPr>
        <w:t>nabídek</w:t>
      </w:r>
    </w:p>
    <w:p w14:paraId="1A644907" w14:textId="77777777" w:rsidR="0027122B" w:rsidRPr="00BC498B" w:rsidRDefault="0027122B" w:rsidP="0027122B">
      <w:pPr>
        <w:spacing w:after="120" w:line="264" w:lineRule="auto"/>
        <w:jc w:val="both"/>
        <w:rPr>
          <w:rFonts w:cstheme="minorHAnsi"/>
          <w:sz w:val="24"/>
          <w:szCs w:val="24"/>
        </w:rPr>
      </w:pPr>
      <w:r>
        <w:rPr>
          <w:rFonts w:cstheme="minorHAnsi"/>
          <w:sz w:val="24"/>
          <w:szCs w:val="24"/>
        </w:rPr>
        <w:t xml:space="preserve">Nabídky budou </w:t>
      </w:r>
      <w:r w:rsidRPr="00BC498B">
        <w:rPr>
          <w:rFonts w:cstheme="minorHAnsi"/>
          <w:sz w:val="24"/>
          <w:szCs w:val="24"/>
        </w:rPr>
        <w:t>hodnoceny podle jejich ekonomické výhodnosti.</w:t>
      </w:r>
    </w:p>
    <w:p w14:paraId="14524279" w14:textId="77777777" w:rsidR="0027122B" w:rsidRDefault="0027122B" w:rsidP="0027122B">
      <w:pPr>
        <w:spacing w:after="120" w:line="264" w:lineRule="auto"/>
        <w:jc w:val="both"/>
        <w:rPr>
          <w:rFonts w:cstheme="minorHAnsi"/>
          <w:sz w:val="24"/>
          <w:szCs w:val="24"/>
        </w:rPr>
      </w:pPr>
      <w:r w:rsidRPr="00BC498B">
        <w:rPr>
          <w:rFonts w:cstheme="minorHAnsi"/>
          <w:sz w:val="24"/>
          <w:szCs w:val="24"/>
        </w:rPr>
        <w:t xml:space="preserve">Ekonomická výhodnost nabídek bude hodnocena </w:t>
      </w:r>
      <w:r>
        <w:rPr>
          <w:rFonts w:cstheme="minorHAnsi"/>
          <w:sz w:val="24"/>
          <w:szCs w:val="24"/>
        </w:rPr>
        <w:t>porovnáním nákladů životního cyklu dodávaného předmětu plnění.</w:t>
      </w:r>
    </w:p>
    <w:p w14:paraId="32CCE6E3" w14:textId="4EFBF983" w:rsidR="0027122B" w:rsidRDefault="0027122B" w:rsidP="0027122B">
      <w:pPr>
        <w:spacing w:after="120" w:line="264" w:lineRule="auto"/>
        <w:jc w:val="both"/>
        <w:rPr>
          <w:rFonts w:cstheme="minorHAnsi"/>
          <w:sz w:val="24"/>
          <w:szCs w:val="24"/>
        </w:rPr>
      </w:pPr>
      <w:r>
        <w:rPr>
          <w:rFonts w:cstheme="minorHAnsi"/>
          <w:sz w:val="24"/>
          <w:szCs w:val="24"/>
        </w:rPr>
        <w:t>Náklady životního cyklu předmětu plnění dle této části veřejné zakázky budou stanoveny jako součet kupní ceny dodávaného přístroje</w:t>
      </w:r>
      <w:r w:rsidR="008C2A2E">
        <w:rPr>
          <w:rFonts w:cstheme="minorHAnsi"/>
          <w:sz w:val="24"/>
          <w:szCs w:val="24"/>
        </w:rPr>
        <w:t xml:space="preserve"> </w:t>
      </w:r>
      <w:r>
        <w:rPr>
          <w:rFonts w:cstheme="minorHAnsi"/>
          <w:sz w:val="24"/>
          <w:szCs w:val="24"/>
        </w:rPr>
        <w:t xml:space="preserve">dle čl. 6.1.1 této části zadávací dokumentace a </w:t>
      </w:r>
      <w:r w:rsidRPr="007F4288">
        <w:rPr>
          <w:rFonts w:cstheme="minorHAnsi"/>
          <w:b/>
          <w:sz w:val="24"/>
          <w:szCs w:val="24"/>
        </w:rPr>
        <w:t>osminásobku</w:t>
      </w:r>
      <w:r>
        <w:rPr>
          <w:rFonts w:cstheme="minorHAnsi"/>
          <w:sz w:val="24"/>
          <w:szCs w:val="24"/>
        </w:rPr>
        <w:t xml:space="preserve"> souhrnu všech nákladů na nákup spotřebního materiálu potřebného k </w:t>
      </w:r>
      <w:r w:rsidR="00A84A89">
        <w:rPr>
          <w:rFonts w:cstheme="minorHAnsi"/>
          <w:sz w:val="24"/>
          <w:szCs w:val="24"/>
        </w:rPr>
        <w:t xml:space="preserve">provedení 200 intermitentních dialýz, 5 pětidenních </w:t>
      </w:r>
      <w:proofErr w:type="spellStart"/>
      <w:r w:rsidR="00A84A89">
        <w:rPr>
          <w:rFonts w:cstheme="minorHAnsi"/>
          <w:sz w:val="24"/>
          <w:szCs w:val="24"/>
        </w:rPr>
        <w:t>plazmaforéz</w:t>
      </w:r>
      <w:proofErr w:type="spellEnd"/>
      <w:r w:rsidR="00A84A89">
        <w:rPr>
          <w:rFonts w:cstheme="minorHAnsi"/>
          <w:sz w:val="24"/>
          <w:szCs w:val="24"/>
        </w:rPr>
        <w:t xml:space="preserve"> a 40 </w:t>
      </w:r>
      <w:proofErr w:type="spellStart"/>
      <w:r w:rsidR="00A84A89">
        <w:rPr>
          <w:rFonts w:cstheme="minorHAnsi"/>
          <w:sz w:val="24"/>
          <w:szCs w:val="24"/>
        </w:rPr>
        <w:t>Ci</w:t>
      </w:r>
      <w:proofErr w:type="spellEnd"/>
      <w:r w:rsidR="00A84A89">
        <w:rPr>
          <w:rFonts w:cstheme="minorHAnsi"/>
          <w:sz w:val="24"/>
          <w:szCs w:val="24"/>
        </w:rPr>
        <w:t xml:space="preserve">-Ca kontinuálních </w:t>
      </w:r>
      <w:r w:rsidR="00A84A89">
        <w:rPr>
          <w:rFonts w:cstheme="minorHAnsi"/>
          <w:sz w:val="24"/>
          <w:szCs w:val="24"/>
        </w:rPr>
        <w:lastRenderedPageBreak/>
        <w:t>dlouhodobých dialýz ročně</w:t>
      </w:r>
      <w:r>
        <w:rPr>
          <w:rFonts w:cstheme="minorHAnsi"/>
          <w:sz w:val="24"/>
          <w:szCs w:val="24"/>
        </w:rPr>
        <w:t xml:space="preserve"> dodaného přístroje tak, jak budou stanoveny dle čl. 6.1.2 této části zadávací dokumentace.</w:t>
      </w:r>
    </w:p>
    <w:p w14:paraId="79C25E84" w14:textId="77777777" w:rsidR="0027122B" w:rsidRDefault="0027122B" w:rsidP="0027122B">
      <w:pPr>
        <w:spacing w:after="120" w:line="264" w:lineRule="auto"/>
        <w:jc w:val="both"/>
        <w:rPr>
          <w:rFonts w:cstheme="minorHAnsi"/>
          <w:sz w:val="24"/>
          <w:szCs w:val="24"/>
        </w:rPr>
      </w:pPr>
      <w:r>
        <w:rPr>
          <w:rFonts w:cstheme="minorHAnsi"/>
          <w:sz w:val="24"/>
          <w:szCs w:val="24"/>
        </w:rPr>
        <w:t>Jako ekonomicky nejvýhodnější bude hodnocena nabídka uchazeče obsahující nejnižší náklady životního cyklu předmětu plnění.</w:t>
      </w:r>
    </w:p>
    <w:p w14:paraId="30B0D5CE" w14:textId="77777777" w:rsidR="006F76E0" w:rsidRDefault="006F76E0" w:rsidP="0027122B">
      <w:pPr>
        <w:ind w:left="705" w:hanging="705"/>
        <w:rPr>
          <w:rFonts w:cstheme="minorHAnsi"/>
          <w:sz w:val="24"/>
          <w:szCs w:val="24"/>
          <w:lang w:eastAsia="ar-SA"/>
        </w:rPr>
      </w:pPr>
    </w:p>
    <w:p w14:paraId="0B071063" w14:textId="77777777" w:rsidR="006F76E0" w:rsidRDefault="006F76E0" w:rsidP="006F76E0">
      <w:pPr>
        <w:ind w:left="705" w:hanging="705"/>
        <w:rPr>
          <w:rFonts w:cstheme="minorHAnsi"/>
          <w:sz w:val="24"/>
          <w:szCs w:val="24"/>
        </w:rPr>
      </w:pPr>
    </w:p>
    <w:p w14:paraId="290C638F" w14:textId="77777777" w:rsidR="006F76E0" w:rsidRDefault="006F76E0" w:rsidP="006F76E0">
      <w:pPr>
        <w:rPr>
          <w:rFonts w:cstheme="minorHAnsi"/>
          <w:b/>
          <w:sz w:val="24"/>
          <w:szCs w:val="24"/>
        </w:rPr>
      </w:pPr>
    </w:p>
    <w:p w14:paraId="5B542443" w14:textId="77777777" w:rsidR="00B26ADE" w:rsidRPr="006F76E0" w:rsidRDefault="00B26ADE" w:rsidP="006F76E0"/>
    <w:sectPr w:rsidR="00B26ADE" w:rsidRPr="006F76E0">
      <w:headerReference w:type="default" r:id="rId8"/>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7C03FC" w15:done="0"/>
  <w15:commentEx w15:paraId="7C6E255D" w15:done="0"/>
  <w15:commentEx w15:paraId="289C5CA5" w15:done="0"/>
  <w15:commentEx w15:paraId="7E095EBA" w15:done="0"/>
  <w15:commentEx w15:paraId="15CA19E5" w15:done="0"/>
  <w15:commentEx w15:paraId="055034CC" w15:done="0"/>
  <w15:commentEx w15:paraId="710617F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E86261" w14:textId="77777777" w:rsidR="007A5272" w:rsidRDefault="007A5272" w:rsidP="00767FFA">
      <w:pPr>
        <w:spacing w:after="0" w:line="240" w:lineRule="auto"/>
      </w:pPr>
      <w:r>
        <w:separator/>
      </w:r>
    </w:p>
  </w:endnote>
  <w:endnote w:type="continuationSeparator" w:id="0">
    <w:p w14:paraId="60854187" w14:textId="77777777" w:rsidR="007A5272" w:rsidRDefault="007A5272" w:rsidP="00767F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3D49F" w14:textId="77777777" w:rsidR="007A5272" w:rsidRDefault="007A5272" w:rsidP="00767FFA">
      <w:pPr>
        <w:spacing w:after="0" w:line="240" w:lineRule="auto"/>
      </w:pPr>
      <w:r>
        <w:separator/>
      </w:r>
    </w:p>
  </w:footnote>
  <w:footnote w:type="continuationSeparator" w:id="0">
    <w:p w14:paraId="1015DD9D" w14:textId="77777777" w:rsidR="007A5272" w:rsidRDefault="007A5272" w:rsidP="00767F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A3CFF" w14:textId="77777777" w:rsidR="00767FFA" w:rsidRDefault="00767FFA">
    <w:pPr>
      <w:pStyle w:val="Zhlav"/>
    </w:pPr>
    <w:r>
      <w:rPr>
        <w:noProof/>
        <w:lang w:eastAsia="cs-CZ"/>
      </w:rPr>
      <w:drawing>
        <wp:inline distT="0" distB="0" distL="0" distR="0" wp14:anchorId="72925C88" wp14:editId="73F4CDE8">
          <wp:extent cx="5760720" cy="949300"/>
          <wp:effectExtent l="0" t="0" r="0" b="381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760720" cy="949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name w:val="WW8Num12"/>
    <w:lvl w:ilvl="0">
      <w:start w:val="1"/>
      <w:numFmt w:val="decimal"/>
      <w:lvlText w:val="%1."/>
      <w:lvlJc w:val="left"/>
      <w:pPr>
        <w:tabs>
          <w:tab w:val="num" w:pos="720"/>
        </w:tabs>
        <w:ind w:left="720" w:hanging="360"/>
      </w:pPr>
      <w:rPr>
        <w:rFonts w:ascii="Symbol" w:hAnsi="Symbol"/>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BDB75F2"/>
    <w:multiLevelType w:val="hybridMultilevel"/>
    <w:tmpl w:val="45AA1F0A"/>
    <w:lvl w:ilvl="0" w:tplc="55F4CE6A">
      <w:start w:val="1"/>
      <w:numFmt w:val="lowerLetter"/>
      <w:lvlText w:val="%1)"/>
      <w:lvlJc w:val="left"/>
      <w:pPr>
        <w:ind w:left="1065" w:hanging="360"/>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2">
    <w:nsid w:val="14C90E6F"/>
    <w:multiLevelType w:val="hybridMultilevel"/>
    <w:tmpl w:val="CFACAC1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3">
    <w:nsid w:val="17D61053"/>
    <w:multiLevelType w:val="hybridMultilevel"/>
    <w:tmpl w:val="3E4C6124"/>
    <w:lvl w:ilvl="0" w:tplc="0ABC3EF2">
      <w:start w:val="1"/>
      <w:numFmt w:val="lowerLetter"/>
      <w:lvlText w:val="%1)"/>
      <w:lvlJc w:val="left"/>
      <w:pPr>
        <w:ind w:left="705" w:hanging="525"/>
      </w:pPr>
      <w:rPr>
        <w:rFonts w:hint="default"/>
      </w:rPr>
    </w:lvl>
    <w:lvl w:ilvl="1" w:tplc="04050019" w:tentative="1">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4">
    <w:nsid w:val="31FD00CD"/>
    <w:multiLevelType w:val="multilevel"/>
    <w:tmpl w:val="1A86CA10"/>
    <w:lvl w:ilvl="0">
      <w:start w:val="1"/>
      <w:numFmt w:val="decimal"/>
      <w:pStyle w:val="Nadpis1"/>
      <w:lvlText w:val="%1"/>
      <w:lvlJc w:val="left"/>
      <w:pPr>
        <w:tabs>
          <w:tab w:val="num" w:pos="435"/>
        </w:tabs>
        <w:ind w:left="435" w:hanging="435"/>
      </w:pPr>
      <w:rPr>
        <w:rFonts w:hint="default"/>
        <w:i w:val="0"/>
      </w:rPr>
    </w:lvl>
    <w:lvl w:ilvl="1">
      <w:start w:val="1"/>
      <w:numFmt w:val="decimal"/>
      <w:pStyle w:val="Nadpis2"/>
      <w:lvlText w:val="%1.%2"/>
      <w:lvlJc w:val="left"/>
      <w:pPr>
        <w:tabs>
          <w:tab w:val="num" w:pos="719"/>
        </w:tabs>
        <w:ind w:left="719" w:hanging="435"/>
      </w:pPr>
      <w:rPr>
        <w:rFonts w:hint="default"/>
        <w:b/>
        <w:i w:val="0"/>
      </w:rPr>
    </w:lvl>
    <w:lvl w:ilvl="2">
      <w:start w:val="1"/>
      <w:numFmt w:val="decimal"/>
      <w:pStyle w:val="Nadpis3"/>
      <w:lvlText w:val="%1.%2.%3"/>
      <w:lvlJc w:val="left"/>
      <w:pPr>
        <w:tabs>
          <w:tab w:val="num" w:pos="4973"/>
        </w:tabs>
        <w:ind w:left="4973"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4DE74BFB"/>
    <w:multiLevelType w:val="hybridMultilevel"/>
    <w:tmpl w:val="564C3B36"/>
    <w:lvl w:ilvl="0" w:tplc="A3A45D0E">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nsid w:val="593D5268"/>
    <w:multiLevelType w:val="hybridMultilevel"/>
    <w:tmpl w:val="8EF83A92"/>
    <w:lvl w:ilvl="0" w:tplc="60760A46">
      <w:start w:val="1"/>
      <w:numFmt w:val="decimal"/>
      <w:lvlText w:val="%1."/>
      <w:lvlJc w:val="left"/>
      <w:pPr>
        <w:ind w:left="1410" w:hanging="705"/>
      </w:pPr>
      <w:rPr>
        <w:rFonts w:hint="default"/>
      </w:rPr>
    </w:lvl>
    <w:lvl w:ilvl="1" w:tplc="04050019" w:tentative="1">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num w:numId="1">
    <w:abstractNumId w:val="4"/>
  </w:num>
  <w:num w:numId="2">
    <w:abstractNumId w:val="3"/>
  </w:num>
  <w:num w:numId="3">
    <w:abstractNumId w:val="1"/>
  </w:num>
  <w:num w:numId="4">
    <w:abstractNumId w:val="6"/>
  </w:num>
  <w:num w:numId="5">
    <w:abstractNumId w:val="5"/>
  </w:num>
  <w:num w:numId="6">
    <w:abstractNumId w:val="0"/>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vlíková Monika">
    <w15:presenceInfo w15:providerId="AD" w15:userId="S-1-5-21-682003330-1788223648-725345543-242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4F8F"/>
    <w:rsid w:val="00077D2D"/>
    <w:rsid w:val="00082330"/>
    <w:rsid w:val="00095C96"/>
    <w:rsid w:val="000E7484"/>
    <w:rsid w:val="0013634B"/>
    <w:rsid w:val="001C3DED"/>
    <w:rsid w:val="0022653D"/>
    <w:rsid w:val="00241BCE"/>
    <w:rsid w:val="0027122B"/>
    <w:rsid w:val="002F4D78"/>
    <w:rsid w:val="00315664"/>
    <w:rsid w:val="00325E47"/>
    <w:rsid w:val="00341EAC"/>
    <w:rsid w:val="00394259"/>
    <w:rsid w:val="003A1EA2"/>
    <w:rsid w:val="003A2763"/>
    <w:rsid w:val="003B0C53"/>
    <w:rsid w:val="00412859"/>
    <w:rsid w:val="00425E02"/>
    <w:rsid w:val="0047027C"/>
    <w:rsid w:val="00574F8F"/>
    <w:rsid w:val="006418DA"/>
    <w:rsid w:val="0065337F"/>
    <w:rsid w:val="006D69E9"/>
    <w:rsid w:val="006F76E0"/>
    <w:rsid w:val="00721223"/>
    <w:rsid w:val="00767FFA"/>
    <w:rsid w:val="007954B5"/>
    <w:rsid w:val="007A5272"/>
    <w:rsid w:val="00820B88"/>
    <w:rsid w:val="00842BDF"/>
    <w:rsid w:val="008779CE"/>
    <w:rsid w:val="008C2A2E"/>
    <w:rsid w:val="00937CAF"/>
    <w:rsid w:val="00952E7E"/>
    <w:rsid w:val="0095586B"/>
    <w:rsid w:val="00980643"/>
    <w:rsid w:val="00A84A89"/>
    <w:rsid w:val="00B26ADE"/>
    <w:rsid w:val="00B7203A"/>
    <w:rsid w:val="00BA36C6"/>
    <w:rsid w:val="00BB6ACD"/>
    <w:rsid w:val="00BC498B"/>
    <w:rsid w:val="00BD587B"/>
    <w:rsid w:val="00BF3B08"/>
    <w:rsid w:val="00C61239"/>
    <w:rsid w:val="00C73510"/>
    <w:rsid w:val="00C95167"/>
    <w:rsid w:val="00D91DBF"/>
    <w:rsid w:val="00DC1186"/>
    <w:rsid w:val="00DC5164"/>
    <w:rsid w:val="00E94DCD"/>
    <w:rsid w:val="00F5624D"/>
    <w:rsid w:val="00F97892"/>
    <w:rsid w:val="00FD36C7"/>
    <w:rsid w:val="00FD5353"/>
    <w:rsid w:val="00FE26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56A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F76E0"/>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6F76E0"/>
    <w:pPr>
      <w:spacing w:line="240" w:lineRule="auto"/>
    </w:pPr>
    <w:rPr>
      <w:sz w:val="20"/>
      <w:szCs w:val="20"/>
    </w:rPr>
  </w:style>
  <w:style w:type="character" w:customStyle="1" w:styleId="TextkomenteChar">
    <w:name w:val="Text komentáře Char"/>
    <w:basedOn w:val="Standardnpsmoodstavce"/>
    <w:link w:val="Textkomente"/>
    <w:uiPriority w:val="99"/>
    <w:semiHidden/>
    <w:rsid w:val="006F76E0"/>
    <w:rPr>
      <w:sz w:val="20"/>
      <w:szCs w:val="20"/>
    </w:rPr>
  </w:style>
  <w:style w:type="character" w:styleId="Odkaznakoment">
    <w:name w:val="annotation reference"/>
    <w:basedOn w:val="Standardnpsmoodstavce"/>
    <w:uiPriority w:val="99"/>
    <w:semiHidden/>
    <w:unhideWhenUsed/>
    <w:rsid w:val="006F76E0"/>
    <w:rPr>
      <w:sz w:val="16"/>
      <w:szCs w:val="16"/>
    </w:rPr>
  </w:style>
  <w:style w:type="paragraph" w:styleId="Zhlav">
    <w:name w:val="header"/>
    <w:basedOn w:val="Normln"/>
    <w:link w:val="ZhlavChar"/>
    <w:uiPriority w:val="99"/>
    <w:unhideWhenUsed/>
    <w:rsid w:val="00767FF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67FFA"/>
  </w:style>
  <w:style w:type="paragraph" w:styleId="Zpat">
    <w:name w:val="footer"/>
    <w:basedOn w:val="Normln"/>
    <w:link w:val="ZpatChar"/>
    <w:uiPriority w:val="99"/>
    <w:unhideWhenUsed/>
    <w:rsid w:val="00767FFA"/>
    <w:pPr>
      <w:tabs>
        <w:tab w:val="center" w:pos="4536"/>
        <w:tab w:val="right" w:pos="9072"/>
      </w:tabs>
      <w:spacing w:after="0" w:line="240" w:lineRule="auto"/>
    </w:pPr>
  </w:style>
  <w:style w:type="character" w:customStyle="1" w:styleId="ZpatChar">
    <w:name w:val="Zápatí Char"/>
    <w:basedOn w:val="Standardnpsmoodstavce"/>
    <w:link w:val="Zpat"/>
    <w:uiPriority w:val="99"/>
    <w:rsid w:val="00767FFA"/>
  </w:style>
  <w:style w:type="paragraph" w:styleId="Pedmtkomente">
    <w:name w:val="annotation subject"/>
    <w:basedOn w:val="Textkomente"/>
    <w:next w:val="Textkomente"/>
    <w:link w:val="PedmtkomenteChar"/>
    <w:uiPriority w:val="99"/>
    <w:semiHidden/>
    <w:unhideWhenUsed/>
    <w:rsid w:val="00DC5164"/>
    <w:rPr>
      <w:b/>
      <w:bCs/>
    </w:rPr>
  </w:style>
  <w:style w:type="character" w:customStyle="1" w:styleId="PedmtkomenteChar">
    <w:name w:val="Předmět komentáře Char"/>
    <w:basedOn w:val="TextkomenteChar"/>
    <w:link w:val="Pedmtkomente"/>
    <w:uiPriority w:val="99"/>
    <w:semiHidden/>
    <w:rsid w:val="00DC516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F76E0"/>
  </w:style>
  <w:style w:type="paragraph" w:styleId="Nadpis1">
    <w:name w:val="heading 1"/>
    <w:basedOn w:val="Nadpis2"/>
    <w:next w:val="Normln"/>
    <w:link w:val="Nadpis1Char"/>
    <w:qFormat/>
    <w:rsid w:val="00B26ADE"/>
    <w:pPr>
      <w:numPr>
        <w:ilvl w:val="0"/>
      </w:numPr>
      <w:pBdr>
        <w:bottom w:val="single" w:sz="4" w:space="1" w:color="000000"/>
      </w:pBdr>
      <w:outlineLvl w:val="0"/>
    </w:pPr>
  </w:style>
  <w:style w:type="paragraph" w:styleId="Nadpis2">
    <w:name w:val="heading 2"/>
    <w:basedOn w:val="Normln"/>
    <w:next w:val="Normln"/>
    <w:link w:val="Nadpis2Char"/>
    <w:qFormat/>
    <w:rsid w:val="00B26ADE"/>
    <w:pPr>
      <w:keepNext/>
      <w:numPr>
        <w:ilvl w:val="1"/>
        <w:numId w:val="1"/>
      </w:numPr>
      <w:suppressAutoHyphens/>
      <w:spacing w:before="240" w:after="60" w:line="240" w:lineRule="auto"/>
      <w:outlineLvl w:val="1"/>
    </w:pPr>
    <w:rPr>
      <w:rFonts w:ascii="Times New Roman" w:eastAsia="Times New Roman" w:hAnsi="Times New Roman" w:cs="Times New Roman"/>
      <w:b/>
      <w:bCs/>
      <w:iCs/>
      <w:sz w:val="24"/>
      <w:szCs w:val="24"/>
      <w:lang w:val="x-none" w:eastAsia="ar-SA"/>
    </w:rPr>
  </w:style>
  <w:style w:type="paragraph" w:styleId="Nadpis3">
    <w:name w:val="heading 3"/>
    <w:basedOn w:val="Normln"/>
    <w:next w:val="Normln"/>
    <w:link w:val="Nadpis3Char"/>
    <w:qFormat/>
    <w:rsid w:val="00B26ADE"/>
    <w:pPr>
      <w:keepNext/>
      <w:numPr>
        <w:ilvl w:val="2"/>
        <w:numId w:val="1"/>
      </w:numPr>
      <w:suppressAutoHyphens/>
      <w:spacing w:before="240" w:after="60" w:line="240" w:lineRule="auto"/>
      <w:outlineLvl w:val="2"/>
    </w:pPr>
    <w:rPr>
      <w:rFonts w:ascii="Times New Roman" w:eastAsia="Times New Roman" w:hAnsi="Times New Roman" w:cs="Times New Roman"/>
      <w:b/>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B26ADE"/>
    <w:rPr>
      <w:rFonts w:ascii="Times New Roman" w:eastAsia="Times New Roman" w:hAnsi="Times New Roman" w:cs="Times New Roman"/>
      <w:b/>
      <w:bCs/>
      <w:iCs/>
      <w:sz w:val="24"/>
      <w:szCs w:val="24"/>
      <w:lang w:val="x-none" w:eastAsia="ar-SA"/>
    </w:rPr>
  </w:style>
  <w:style w:type="character" w:customStyle="1" w:styleId="Nadpis2Char">
    <w:name w:val="Nadpis 2 Char"/>
    <w:basedOn w:val="Standardnpsmoodstavce"/>
    <w:link w:val="Nadpis2"/>
    <w:rsid w:val="00B26ADE"/>
    <w:rPr>
      <w:rFonts w:ascii="Times New Roman" w:eastAsia="Times New Roman" w:hAnsi="Times New Roman" w:cs="Times New Roman"/>
      <w:b/>
      <w:bCs/>
      <w:iCs/>
      <w:sz w:val="24"/>
      <w:szCs w:val="24"/>
      <w:lang w:val="x-none" w:eastAsia="ar-SA"/>
    </w:rPr>
  </w:style>
  <w:style w:type="character" w:customStyle="1" w:styleId="Nadpis3Char">
    <w:name w:val="Nadpis 3 Char"/>
    <w:basedOn w:val="Standardnpsmoodstavce"/>
    <w:link w:val="Nadpis3"/>
    <w:rsid w:val="00B26ADE"/>
    <w:rPr>
      <w:rFonts w:ascii="Times New Roman" w:eastAsia="Times New Roman" w:hAnsi="Times New Roman" w:cs="Times New Roman"/>
      <w:b/>
      <w:sz w:val="24"/>
      <w:szCs w:val="24"/>
      <w:lang w:eastAsia="ar-SA"/>
    </w:rPr>
  </w:style>
  <w:style w:type="paragraph" w:styleId="Normlnweb">
    <w:name w:val="Normal (Web)"/>
    <w:basedOn w:val="Normln"/>
    <w:rsid w:val="00B26ADE"/>
    <w:pPr>
      <w:suppressAutoHyphens/>
      <w:spacing w:after="0" w:line="240" w:lineRule="auto"/>
    </w:pPr>
    <w:rPr>
      <w:rFonts w:ascii="Times New Roman" w:eastAsia="Times New Roman" w:hAnsi="Times New Roman" w:cs="Times New Roman"/>
      <w:sz w:val="24"/>
      <w:szCs w:val="24"/>
      <w:lang w:eastAsia="ar-SA"/>
    </w:rPr>
  </w:style>
  <w:style w:type="paragraph" w:styleId="Odstavecseseznamem">
    <w:name w:val="List Paragraph"/>
    <w:basedOn w:val="Normln"/>
    <w:uiPriority w:val="34"/>
    <w:qFormat/>
    <w:rsid w:val="00B26ADE"/>
    <w:pPr>
      <w:spacing w:after="0" w:line="240" w:lineRule="auto"/>
      <w:ind w:left="708"/>
    </w:pPr>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F97892"/>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F97892"/>
    <w:rPr>
      <w:rFonts w:ascii="Tahoma" w:hAnsi="Tahoma" w:cs="Tahoma"/>
      <w:sz w:val="16"/>
      <w:szCs w:val="16"/>
    </w:rPr>
  </w:style>
  <w:style w:type="paragraph" w:styleId="Textkomente">
    <w:name w:val="annotation text"/>
    <w:basedOn w:val="Normln"/>
    <w:link w:val="TextkomenteChar"/>
    <w:uiPriority w:val="99"/>
    <w:semiHidden/>
    <w:unhideWhenUsed/>
    <w:rsid w:val="006F76E0"/>
    <w:pPr>
      <w:spacing w:line="240" w:lineRule="auto"/>
    </w:pPr>
    <w:rPr>
      <w:sz w:val="20"/>
      <w:szCs w:val="20"/>
    </w:rPr>
  </w:style>
  <w:style w:type="character" w:customStyle="1" w:styleId="TextkomenteChar">
    <w:name w:val="Text komentáře Char"/>
    <w:basedOn w:val="Standardnpsmoodstavce"/>
    <w:link w:val="Textkomente"/>
    <w:uiPriority w:val="99"/>
    <w:semiHidden/>
    <w:rsid w:val="006F76E0"/>
    <w:rPr>
      <w:sz w:val="20"/>
      <w:szCs w:val="20"/>
    </w:rPr>
  </w:style>
  <w:style w:type="character" w:styleId="Odkaznakoment">
    <w:name w:val="annotation reference"/>
    <w:basedOn w:val="Standardnpsmoodstavce"/>
    <w:uiPriority w:val="99"/>
    <w:semiHidden/>
    <w:unhideWhenUsed/>
    <w:rsid w:val="006F76E0"/>
    <w:rPr>
      <w:sz w:val="16"/>
      <w:szCs w:val="16"/>
    </w:rPr>
  </w:style>
  <w:style w:type="paragraph" w:styleId="Zhlav">
    <w:name w:val="header"/>
    <w:basedOn w:val="Normln"/>
    <w:link w:val="ZhlavChar"/>
    <w:uiPriority w:val="99"/>
    <w:unhideWhenUsed/>
    <w:rsid w:val="00767FF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67FFA"/>
  </w:style>
  <w:style w:type="paragraph" w:styleId="Zpat">
    <w:name w:val="footer"/>
    <w:basedOn w:val="Normln"/>
    <w:link w:val="ZpatChar"/>
    <w:uiPriority w:val="99"/>
    <w:unhideWhenUsed/>
    <w:rsid w:val="00767FFA"/>
    <w:pPr>
      <w:tabs>
        <w:tab w:val="center" w:pos="4536"/>
        <w:tab w:val="right" w:pos="9072"/>
      </w:tabs>
      <w:spacing w:after="0" w:line="240" w:lineRule="auto"/>
    </w:pPr>
  </w:style>
  <w:style w:type="character" w:customStyle="1" w:styleId="ZpatChar">
    <w:name w:val="Zápatí Char"/>
    <w:basedOn w:val="Standardnpsmoodstavce"/>
    <w:link w:val="Zpat"/>
    <w:uiPriority w:val="99"/>
    <w:rsid w:val="00767FFA"/>
  </w:style>
  <w:style w:type="paragraph" w:styleId="Pedmtkomente">
    <w:name w:val="annotation subject"/>
    <w:basedOn w:val="Textkomente"/>
    <w:next w:val="Textkomente"/>
    <w:link w:val="PedmtkomenteChar"/>
    <w:uiPriority w:val="99"/>
    <w:semiHidden/>
    <w:unhideWhenUsed/>
    <w:rsid w:val="00DC5164"/>
    <w:rPr>
      <w:b/>
      <w:bCs/>
    </w:rPr>
  </w:style>
  <w:style w:type="character" w:customStyle="1" w:styleId="PedmtkomenteChar">
    <w:name w:val="Předmět komentáře Char"/>
    <w:basedOn w:val="TextkomenteChar"/>
    <w:link w:val="Pedmtkomente"/>
    <w:uiPriority w:val="99"/>
    <w:semiHidden/>
    <w:rsid w:val="00DC516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6125516">
      <w:bodyDiv w:val="1"/>
      <w:marLeft w:val="0"/>
      <w:marRight w:val="0"/>
      <w:marTop w:val="0"/>
      <w:marBottom w:val="0"/>
      <w:divBdr>
        <w:top w:val="none" w:sz="0" w:space="0" w:color="auto"/>
        <w:left w:val="none" w:sz="0" w:space="0" w:color="auto"/>
        <w:bottom w:val="none" w:sz="0" w:space="0" w:color="auto"/>
        <w:right w:val="none" w:sz="0" w:space="0" w:color="auto"/>
      </w:divBdr>
    </w:div>
    <w:div w:id="446431826">
      <w:bodyDiv w:val="1"/>
      <w:marLeft w:val="0"/>
      <w:marRight w:val="0"/>
      <w:marTop w:val="0"/>
      <w:marBottom w:val="0"/>
      <w:divBdr>
        <w:top w:val="none" w:sz="0" w:space="0" w:color="auto"/>
        <w:left w:val="none" w:sz="0" w:space="0" w:color="auto"/>
        <w:bottom w:val="none" w:sz="0" w:space="0" w:color="auto"/>
        <w:right w:val="none" w:sz="0" w:space="0" w:color="auto"/>
      </w:divBdr>
    </w:div>
    <w:div w:id="828059514">
      <w:bodyDiv w:val="1"/>
      <w:marLeft w:val="0"/>
      <w:marRight w:val="0"/>
      <w:marTop w:val="0"/>
      <w:marBottom w:val="0"/>
      <w:divBdr>
        <w:top w:val="none" w:sz="0" w:space="0" w:color="auto"/>
        <w:left w:val="none" w:sz="0" w:space="0" w:color="auto"/>
        <w:bottom w:val="none" w:sz="0" w:space="0" w:color="auto"/>
        <w:right w:val="none" w:sz="0" w:space="0" w:color="auto"/>
      </w:divBdr>
    </w:div>
    <w:div w:id="986128896">
      <w:bodyDiv w:val="1"/>
      <w:marLeft w:val="0"/>
      <w:marRight w:val="0"/>
      <w:marTop w:val="0"/>
      <w:marBottom w:val="0"/>
      <w:divBdr>
        <w:top w:val="none" w:sz="0" w:space="0" w:color="auto"/>
        <w:left w:val="none" w:sz="0" w:space="0" w:color="auto"/>
        <w:bottom w:val="none" w:sz="0" w:space="0" w:color="auto"/>
        <w:right w:val="none" w:sz="0" w:space="0" w:color="auto"/>
      </w:divBdr>
    </w:div>
    <w:div w:id="1640920415">
      <w:bodyDiv w:val="1"/>
      <w:marLeft w:val="0"/>
      <w:marRight w:val="0"/>
      <w:marTop w:val="0"/>
      <w:marBottom w:val="0"/>
      <w:divBdr>
        <w:top w:val="none" w:sz="0" w:space="0" w:color="auto"/>
        <w:left w:val="none" w:sz="0" w:space="0" w:color="auto"/>
        <w:bottom w:val="none" w:sz="0" w:space="0" w:color="auto"/>
        <w:right w:val="none" w:sz="0" w:space="0" w:color="auto"/>
      </w:divBdr>
    </w:div>
    <w:div w:id="21257299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1592</Words>
  <Characters>9394</Characters>
  <Application>Microsoft Office Word</Application>
  <DocSecurity>0</DocSecurity>
  <Lines>78</Lines>
  <Paragraphs>21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Štěpán Kortus</cp:lastModifiedBy>
  <cp:revision>7</cp:revision>
  <cp:lastPrinted>2017-05-23T06:53:00Z</cp:lastPrinted>
  <dcterms:created xsi:type="dcterms:W3CDTF">2017-12-11T11:21:00Z</dcterms:created>
  <dcterms:modified xsi:type="dcterms:W3CDTF">2018-01-29T08:13:00Z</dcterms:modified>
</cp:coreProperties>
</file>